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191C39DE"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93AF2">
        <w:rPr>
          <w:rFonts w:cs="Arial"/>
          <w:b/>
          <w:bCs/>
          <w:kern w:val="0"/>
          <w:sz w:val="24"/>
        </w:rPr>
        <w:t>2</w:t>
      </w:r>
      <w:r w:rsidR="00B519A5">
        <w:rPr>
          <w:rFonts w:cs="Arial"/>
          <w:b/>
          <w:bCs/>
          <w:kern w:val="0"/>
          <w:sz w:val="24"/>
        </w:rPr>
        <w:t>2</w:t>
      </w:r>
      <w:r w:rsidR="000E742E">
        <w:rPr>
          <w:rFonts w:cs="Arial"/>
          <w:b/>
          <w:bCs/>
          <w:kern w:val="0"/>
          <w:sz w:val="24"/>
        </w:rPr>
        <w:t xml:space="preserv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930D27">
        <w:rPr>
          <w:rFonts w:cs="Arial"/>
          <w:b/>
          <w:bCs/>
          <w:kern w:val="0"/>
          <w:sz w:val="24"/>
        </w:rPr>
        <w:t xml:space="preserve">      </w:t>
      </w:r>
      <w:r w:rsidR="00813F2B">
        <w:rPr>
          <w:rFonts w:cs="Arial"/>
          <w:b/>
          <w:bCs/>
          <w:kern w:val="0"/>
          <w:sz w:val="24"/>
        </w:rPr>
        <w:t xml:space="preserve">      </w:t>
      </w:r>
      <w:r w:rsidR="00E203C4">
        <w:rPr>
          <w:rFonts w:cs="Arial"/>
          <w:b/>
          <w:bCs/>
          <w:kern w:val="0"/>
          <w:sz w:val="24"/>
        </w:rPr>
        <w:t>R2-</w:t>
      </w:r>
      <w:r w:rsidR="00EE764F">
        <w:rPr>
          <w:rFonts w:cs="Arial"/>
          <w:b/>
          <w:bCs/>
          <w:kern w:val="0"/>
          <w:sz w:val="24"/>
        </w:rPr>
        <w:t>230</w:t>
      </w:r>
      <w:r w:rsidR="003331D0">
        <w:rPr>
          <w:rFonts w:cs="Arial"/>
          <w:b/>
          <w:bCs/>
          <w:kern w:val="0"/>
          <w:sz w:val="24"/>
        </w:rPr>
        <w:t>5397</w:t>
      </w:r>
    </w:p>
    <w:p w14:paraId="18E6155B" w14:textId="77777777" w:rsidR="00B519A5" w:rsidRPr="00B519A5" w:rsidRDefault="00B519A5" w:rsidP="00B519A5">
      <w:pPr>
        <w:tabs>
          <w:tab w:val="left" w:pos="1701"/>
          <w:tab w:val="right" w:pos="9923"/>
        </w:tabs>
        <w:spacing w:before="120" w:after="0"/>
        <w:jc w:val="left"/>
        <w:rPr>
          <w:rFonts w:eastAsia="MS Mincho"/>
          <w:b/>
          <w:kern w:val="0"/>
          <w:sz w:val="24"/>
          <w:lang w:val="de-DE" w:eastAsia="x-none"/>
        </w:rPr>
      </w:pPr>
      <w:r w:rsidRPr="00B519A5">
        <w:rPr>
          <w:rFonts w:eastAsia="MS Mincho"/>
          <w:b/>
          <w:kern w:val="0"/>
          <w:sz w:val="24"/>
          <w:lang w:val="de-DE" w:eastAsia="x-none"/>
        </w:rPr>
        <w:t>Incheon, Korea, May 22-26, 2023</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5DFB5A89"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r w:rsidR="003331D0">
        <w:rPr>
          <w:rFonts w:cs="Arial"/>
          <w:b/>
          <w:bCs/>
          <w:snapToGrid w:val="0"/>
          <w:kern w:val="0"/>
          <w:sz w:val="24"/>
        </w:rPr>
        <w:t xml:space="preserve">Huawei, </w:t>
      </w:r>
      <w:bookmarkStart w:id="0" w:name="_GoBack"/>
      <w:bookmarkEnd w:id="0"/>
      <w:proofErr w:type="spellStart"/>
      <w:r w:rsidR="00B6399F">
        <w:rPr>
          <w:rFonts w:cs="Arial"/>
          <w:b/>
          <w:bCs/>
          <w:snapToGrid w:val="0"/>
          <w:kern w:val="0"/>
          <w:sz w:val="24"/>
        </w:rPr>
        <w:t>Sanechips</w:t>
      </w:r>
      <w:proofErr w:type="spellEnd"/>
    </w:p>
    <w:p w14:paraId="61403576" w14:textId="40356DD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CB3931">
        <w:rPr>
          <w:rFonts w:cs="Arial"/>
          <w:b/>
          <w:bCs/>
          <w:snapToGrid w:val="0"/>
          <w:kern w:val="0"/>
          <w:sz w:val="24"/>
        </w:rPr>
        <w:t xml:space="preserve">Consideration on </w:t>
      </w:r>
      <w:r w:rsidR="00B519A5">
        <w:rPr>
          <w:rFonts w:cs="Arial"/>
          <w:b/>
          <w:bCs/>
          <w:snapToGrid w:val="0"/>
          <w:kern w:val="0"/>
          <w:sz w:val="24"/>
        </w:rPr>
        <w:t>1Rx/2Rx determination from network perspective</w:t>
      </w:r>
    </w:p>
    <w:p w14:paraId="774FE3B4" w14:textId="2ADB6B46"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081191">
        <w:rPr>
          <w:rFonts w:cs="Arial"/>
          <w:b/>
          <w:bCs/>
          <w:snapToGrid w:val="0"/>
          <w:kern w:val="0"/>
          <w:sz w:val="24"/>
        </w:rPr>
        <w:t>6.</w:t>
      </w:r>
      <w:r w:rsidR="00E445DC">
        <w:rPr>
          <w:rFonts w:cs="Arial"/>
          <w:b/>
          <w:bCs/>
          <w:snapToGrid w:val="0"/>
          <w:kern w:val="0"/>
          <w:sz w:val="24"/>
        </w:rPr>
        <w:t>1.</w:t>
      </w:r>
      <w:r w:rsidR="0039008E">
        <w:rPr>
          <w:rFonts w:cs="Arial"/>
          <w:b/>
          <w:bCs/>
          <w:snapToGrid w:val="0"/>
          <w:kern w:val="0"/>
          <w:sz w:val="24"/>
        </w:rPr>
        <w:t>3.</w:t>
      </w:r>
      <w:r w:rsidR="00A85547">
        <w:rPr>
          <w:rFonts w:cs="Arial"/>
          <w:b/>
          <w:bCs/>
          <w:snapToGrid w:val="0"/>
          <w:kern w:val="0"/>
          <w:sz w:val="24"/>
        </w:rPr>
        <w:t>1</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702CB17C" w14:textId="19F4BA65" w:rsidR="00BC214E" w:rsidRDefault="00BC214E" w:rsidP="004C4B03">
      <w:pPr>
        <w:spacing w:before="120"/>
        <w:rPr>
          <w:rFonts w:ascii="Times New Roman" w:eastAsiaTheme="minorEastAsia" w:hAnsi="Times New Roman"/>
          <w:lang w:val="en-GB"/>
        </w:rPr>
      </w:pPr>
      <w:r>
        <w:rPr>
          <w:rFonts w:ascii="Times New Roman" w:eastAsiaTheme="minorEastAsia" w:hAnsi="Times New Roman" w:hint="eastAsia"/>
          <w:lang w:val="en-GB"/>
        </w:rPr>
        <w:t>I</w:t>
      </w:r>
      <w:r>
        <w:rPr>
          <w:rFonts w:ascii="Times New Roman" w:eastAsiaTheme="minorEastAsia" w:hAnsi="Times New Roman"/>
          <w:lang w:val="en-GB"/>
        </w:rPr>
        <w:t xml:space="preserve">n RAN2#121bis-e meeting, </w:t>
      </w:r>
      <w:r w:rsidR="007E64FE">
        <w:rPr>
          <w:rFonts w:ascii="Times New Roman" w:eastAsiaTheme="minorEastAsia" w:hAnsi="Times New Roman"/>
          <w:lang w:val="en-GB"/>
        </w:rPr>
        <w:t xml:space="preserve">companies discussed the ambiguity issue </w:t>
      </w:r>
      <w:r w:rsidR="007E64FE">
        <w:rPr>
          <w:rFonts w:ascii="Times New Roman" w:eastAsiaTheme="minorEastAsia" w:hAnsi="Times New Roman" w:hint="eastAsia"/>
          <w:lang w:val="en-GB"/>
        </w:rPr>
        <w:t>caused</w:t>
      </w:r>
      <w:r w:rsidR="007E64FE">
        <w:rPr>
          <w:rFonts w:ascii="Times New Roman" w:eastAsiaTheme="minorEastAsia" w:hAnsi="Times New Roman"/>
          <w:lang w:val="en-GB"/>
        </w:rPr>
        <w:t xml:space="preserve"> </w:t>
      </w:r>
      <w:r w:rsidR="007E64FE">
        <w:rPr>
          <w:rFonts w:ascii="Times New Roman" w:eastAsiaTheme="minorEastAsia" w:hAnsi="Times New Roman" w:hint="eastAsia"/>
          <w:lang w:val="en-GB"/>
        </w:rPr>
        <w:t>by</w:t>
      </w:r>
      <w:r w:rsidR="007E64FE">
        <w:rPr>
          <w:rFonts w:ascii="Times New Roman" w:eastAsiaTheme="minorEastAsia" w:hAnsi="Times New Roman"/>
          <w:lang w:val="en-GB"/>
        </w:rPr>
        <w:t xml:space="preserve"> separate cell barring indications for 1Rx and 2Rx RedCap UEs, based on the discussion, most companies prefer not to introduce configuration restriction (i.e.</w:t>
      </w:r>
      <w:r w:rsidR="007E64FE" w:rsidRPr="007E64FE">
        <w:rPr>
          <w:rFonts w:ascii="Times New Roman" w:eastAsiaTheme="minorEastAsia" w:hAnsi="Times New Roman"/>
          <w:lang w:val="en-GB"/>
        </w:rPr>
        <w:t xml:space="preserve"> cellBarredRedCap2Rx can be set to “barred” only if cellBarredRedCap1Rx is set to “barred”</w:t>
      </w:r>
      <w:r w:rsidR="007E64FE">
        <w:rPr>
          <w:rFonts w:ascii="Times New Roman" w:eastAsiaTheme="minorEastAsia" w:hAnsi="Times New Roman"/>
          <w:lang w:val="en-GB"/>
        </w:rPr>
        <w:t xml:space="preserve">). However, the discussion on how to determine RedCap UE’s type is postponed. </w:t>
      </w:r>
    </w:p>
    <w:tbl>
      <w:tblPr>
        <w:tblStyle w:val="aff0"/>
        <w:tblW w:w="0" w:type="auto"/>
        <w:tblLook w:val="04A0" w:firstRow="1" w:lastRow="0" w:firstColumn="1" w:lastColumn="0" w:noHBand="0" w:noVBand="1"/>
      </w:tblPr>
      <w:tblGrid>
        <w:gridCol w:w="9769"/>
      </w:tblGrid>
      <w:tr w:rsidR="00BC214E" w14:paraId="7DC0D5C6" w14:textId="77777777" w:rsidTr="00BC214E">
        <w:tc>
          <w:tcPr>
            <w:tcW w:w="9769" w:type="dxa"/>
          </w:tcPr>
          <w:p w14:paraId="1502EBEF" w14:textId="77777777" w:rsidR="00BC214E" w:rsidRPr="00BC214E" w:rsidRDefault="00BC214E" w:rsidP="00BC214E">
            <w:pPr>
              <w:widowControl/>
              <w:overflowPunct w:val="0"/>
              <w:autoSpaceDE w:val="0"/>
              <w:autoSpaceDN w:val="0"/>
              <w:adjustRightInd w:val="0"/>
              <w:snapToGrid w:val="0"/>
              <w:spacing w:after="0" w:line="288" w:lineRule="auto"/>
              <w:ind w:left="1259" w:hanging="1259"/>
              <w:jc w:val="left"/>
              <w:textAlignment w:val="baseline"/>
              <w:rPr>
                <w:noProof/>
                <w:kern w:val="0"/>
                <w:sz w:val="18"/>
                <w:szCs w:val="20"/>
                <w:lang w:val="fr-FR" w:eastAsia="ja-JP"/>
              </w:rPr>
            </w:pPr>
            <w:r w:rsidRPr="00BC214E">
              <w:rPr>
                <w:noProof/>
                <w:kern w:val="0"/>
                <w:sz w:val="18"/>
                <w:szCs w:val="20"/>
                <w:lang w:val="fr-FR" w:eastAsia="ja-JP"/>
              </w:rPr>
              <w:t>R2-2303286</w:t>
            </w:r>
            <w:r w:rsidRPr="00BC214E">
              <w:rPr>
                <w:noProof/>
                <w:kern w:val="0"/>
                <w:sz w:val="18"/>
                <w:szCs w:val="20"/>
                <w:lang w:val="fr-FR" w:eastAsia="ja-JP"/>
              </w:rPr>
              <w:tab/>
              <w:t>Clarification on cell barring indications for RedCap UEs</w:t>
            </w:r>
            <w:r w:rsidRPr="00BC214E">
              <w:rPr>
                <w:noProof/>
                <w:kern w:val="0"/>
                <w:sz w:val="18"/>
                <w:szCs w:val="20"/>
                <w:lang w:val="fr-FR" w:eastAsia="ja-JP"/>
              </w:rPr>
              <w:tab/>
              <w:t>ZTE Corporation, Sanechips</w:t>
            </w:r>
            <w:r w:rsidRPr="00BC214E">
              <w:rPr>
                <w:noProof/>
                <w:kern w:val="0"/>
                <w:sz w:val="18"/>
                <w:szCs w:val="20"/>
                <w:lang w:val="fr-FR" w:eastAsia="ja-JP"/>
              </w:rPr>
              <w:tab/>
              <w:t>discussion</w:t>
            </w:r>
            <w:r w:rsidRPr="00BC214E">
              <w:rPr>
                <w:noProof/>
                <w:kern w:val="0"/>
                <w:sz w:val="18"/>
                <w:szCs w:val="20"/>
                <w:lang w:val="fr-FR" w:eastAsia="ja-JP"/>
              </w:rPr>
              <w:tab/>
              <w:t>Rel-17</w:t>
            </w:r>
            <w:r w:rsidRPr="00BC214E">
              <w:rPr>
                <w:noProof/>
                <w:kern w:val="0"/>
                <w:sz w:val="18"/>
                <w:szCs w:val="20"/>
                <w:lang w:val="fr-FR" w:eastAsia="ja-JP"/>
              </w:rPr>
              <w:tab/>
              <w:t>NR_redcap-Core</w:t>
            </w:r>
          </w:p>
          <w:p w14:paraId="2C21E733" w14:textId="77777777" w:rsidR="00BC214E" w:rsidRPr="00BC214E" w:rsidRDefault="00BC214E" w:rsidP="00BC214E">
            <w:pPr>
              <w:widowControl/>
              <w:tabs>
                <w:tab w:val="num" w:pos="1619"/>
              </w:tabs>
              <w:adjustRightInd w:val="0"/>
              <w:snapToGrid w:val="0"/>
              <w:spacing w:after="0" w:line="288" w:lineRule="auto"/>
              <w:ind w:left="1619" w:hanging="360"/>
              <w:jc w:val="left"/>
              <w:rPr>
                <w:b/>
                <w:kern w:val="0"/>
                <w:sz w:val="18"/>
                <w:szCs w:val="20"/>
                <w:lang w:val="fr-FR" w:eastAsia="ja-JP"/>
              </w:rPr>
            </w:pPr>
            <w:r w:rsidRPr="00BC214E">
              <w:rPr>
                <w:b/>
                <w:kern w:val="0"/>
                <w:sz w:val="18"/>
                <w:szCs w:val="20"/>
                <w:lang w:val="fr-FR" w:eastAsia="ja-JP"/>
              </w:rPr>
              <w:t>[005] Postponed</w:t>
            </w:r>
          </w:p>
          <w:p w14:paraId="2BAF4BEC" w14:textId="77777777" w:rsidR="00BC214E" w:rsidRPr="00BC214E" w:rsidRDefault="00BC214E" w:rsidP="00BC214E">
            <w:pPr>
              <w:widowControl/>
              <w:tabs>
                <w:tab w:val="left" w:pos="1622"/>
              </w:tabs>
              <w:overflowPunct w:val="0"/>
              <w:autoSpaceDE w:val="0"/>
              <w:autoSpaceDN w:val="0"/>
              <w:adjustRightInd w:val="0"/>
              <w:snapToGrid w:val="0"/>
              <w:spacing w:after="0" w:line="288" w:lineRule="auto"/>
              <w:ind w:left="1622" w:hanging="363"/>
              <w:jc w:val="left"/>
              <w:textAlignment w:val="baseline"/>
              <w:rPr>
                <w:kern w:val="0"/>
                <w:sz w:val="18"/>
                <w:szCs w:val="20"/>
                <w:lang w:val="fr-FR" w:eastAsia="ja-JP"/>
              </w:rPr>
            </w:pPr>
          </w:p>
          <w:p w14:paraId="7F005FA4" w14:textId="77777777" w:rsidR="00BC214E" w:rsidRPr="00BC214E" w:rsidRDefault="00BC214E" w:rsidP="00BC214E">
            <w:pPr>
              <w:widowControl/>
              <w:overflowPunct w:val="0"/>
              <w:autoSpaceDE w:val="0"/>
              <w:autoSpaceDN w:val="0"/>
              <w:adjustRightInd w:val="0"/>
              <w:snapToGrid w:val="0"/>
              <w:spacing w:after="0" w:line="288" w:lineRule="auto"/>
              <w:ind w:left="1259" w:hanging="1259"/>
              <w:jc w:val="left"/>
              <w:textAlignment w:val="baseline"/>
              <w:rPr>
                <w:noProof/>
                <w:kern w:val="0"/>
                <w:sz w:val="18"/>
                <w:szCs w:val="20"/>
                <w:lang w:val="fr-FR" w:eastAsia="ja-JP"/>
              </w:rPr>
            </w:pPr>
            <w:r w:rsidRPr="00BC214E">
              <w:rPr>
                <w:noProof/>
                <w:kern w:val="0"/>
                <w:sz w:val="18"/>
                <w:szCs w:val="20"/>
                <w:lang w:val="fr-FR" w:eastAsia="ja-JP"/>
              </w:rPr>
              <w:t>R2-2303287</w:t>
            </w:r>
            <w:r w:rsidRPr="00BC214E">
              <w:rPr>
                <w:noProof/>
                <w:kern w:val="0"/>
                <w:sz w:val="18"/>
                <w:szCs w:val="20"/>
                <w:lang w:val="fr-FR" w:eastAsia="ja-JP"/>
              </w:rPr>
              <w:tab/>
              <w:t>Correction on cellBarredRedCap2Rx</w:t>
            </w:r>
            <w:r w:rsidRPr="00BC214E">
              <w:rPr>
                <w:noProof/>
                <w:kern w:val="0"/>
                <w:sz w:val="18"/>
                <w:szCs w:val="20"/>
                <w:lang w:val="fr-FR" w:eastAsia="ja-JP"/>
              </w:rPr>
              <w:tab/>
              <w:t>ZTE Corporation, Sanechips</w:t>
            </w:r>
            <w:r w:rsidRPr="00BC214E">
              <w:rPr>
                <w:noProof/>
                <w:kern w:val="0"/>
                <w:sz w:val="18"/>
                <w:szCs w:val="20"/>
                <w:lang w:val="fr-FR" w:eastAsia="ja-JP"/>
              </w:rPr>
              <w:tab/>
              <w:t>CR</w:t>
            </w:r>
            <w:r w:rsidRPr="00BC214E">
              <w:rPr>
                <w:noProof/>
                <w:kern w:val="0"/>
                <w:sz w:val="18"/>
                <w:szCs w:val="20"/>
                <w:lang w:val="fr-FR" w:eastAsia="ja-JP"/>
              </w:rPr>
              <w:tab/>
              <w:t>Rel-17</w:t>
            </w:r>
            <w:r w:rsidRPr="00BC214E">
              <w:rPr>
                <w:noProof/>
                <w:kern w:val="0"/>
                <w:sz w:val="18"/>
                <w:szCs w:val="20"/>
                <w:lang w:val="fr-FR" w:eastAsia="ja-JP"/>
              </w:rPr>
              <w:tab/>
              <w:t>38.331</w:t>
            </w:r>
            <w:r w:rsidRPr="00BC214E">
              <w:rPr>
                <w:noProof/>
                <w:kern w:val="0"/>
                <w:sz w:val="18"/>
                <w:szCs w:val="20"/>
                <w:lang w:val="fr-FR" w:eastAsia="ja-JP"/>
              </w:rPr>
              <w:tab/>
              <w:t>17.4.0</w:t>
            </w:r>
            <w:r w:rsidRPr="00BC214E">
              <w:rPr>
                <w:noProof/>
                <w:kern w:val="0"/>
                <w:sz w:val="18"/>
                <w:szCs w:val="20"/>
                <w:lang w:val="fr-FR" w:eastAsia="ja-JP"/>
              </w:rPr>
              <w:tab/>
              <w:t>4005</w:t>
            </w:r>
            <w:r w:rsidRPr="00BC214E">
              <w:rPr>
                <w:noProof/>
                <w:kern w:val="0"/>
                <w:sz w:val="18"/>
                <w:szCs w:val="20"/>
                <w:lang w:val="fr-FR" w:eastAsia="ja-JP"/>
              </w:rPr>
              <w:tab/>
              <w:t>-</w:t>
            </w:r>
            <w:r w:rsidRPr="00BC214E">
              <w:rPr>
                <w:noProof/>
                <w:kern w:val="0"/>
                <w:sz w:val="18"/>
                <w:szCs w:val="20"/>
                <w:lang w:val="fr-FR" w:eastAsia="ja-JP"/>
              </w:rPr>
              <w:tab/>
              <w:t>F</w:t>
            </w:r>
            <w:r w:rsidRPr="00BC214E">
              <w:rPr>
                <w:noProof/>
                <w:kern w:val="0"/>
                <w:sz w:val="18"/>
                <w:szCs w:val="20"/>
                <w:lang w:val="fr-FR" w:eastAsia="ja-JP"/>
              </w:rPr>
              <w:tab/>
              <w:t>NR_redcap-Core</w:t>
            </w:r>
          </w:p>
          <w:p w14:paraId="4C621EA6" w14:textId="77777777" w:rsidR="00BC214E" w:rsidRPr="00BC214E" w:rsidRDefault="00BC214E" w:rsidP="00BC214E">
            <w:pPr>
              <w:widowControl/>
              <w:tabs>
                <w:tab w:val="num" w:pos="1619"/>
              </w:tabs>
              <w:adjustRightInd w:val="0"/>
              <w:snapToGrid w:val="0"/>
              <w:spacing w:after="0" w:line="288" w:lineRule="auto"/>
              <w:ind w:left="1619" w:hanging="360"/>
              <w:jc w:val="left"/>
              <w:rPr>
                <w:b/>
                <w:kern w:val="0"/>
                <w:sz w:val="18"/>
                <w:szCs w:val="20"/>
                <w:lang w:eastAsia="ja-JP"/>
              </w:rPr>
            </w:pPr>
            <w:r w:rsidRPr="00BC214E">
              <w:rPr>
                <w:b/>
                <w:kern w:val="0"/>
                <w:sz w:val="18"/>
                <w:szCs w:val="20"/>
                <w:lang w:eastAsia="ja-JP"/>
              </w:rPr>
              <w:t xml:space="preserve">[005] R2-2303287 is not pursued. </w:t>
            </w:r>
          </w:p>
          <w:p w14:paraId="03DE2F14" w14:textId="28917577" w:rsidR="00BC214E" w:rsidRPr="00BC214E" w:rsidRDefault="00BC214E" w:rsidP="00BC214E">
            <w:pPr>
              <w:widowControl/>
              <w:tabs>
                <w:tab w:val="num" w:pos="1619"/>
              </w:tabs>
              <w:adjustRightInd w:val="0"/>
              <w:snapToGrid w:val="0"/>
              <w:spacing w:after="0" w:line="288" w:lineRule="auto"/>
              <w:ind w:left="1619" w:hanging="360"/>
              <w:jc w:val="left"/>
              <w:rPr>
                <w:rFonts w:eastAsia="MS PGothic"/>
                <w:b/>
                <w:kern w:val="0"/>
                <w:sz w:val="20"/>
                <w:szCs w:val="20"/>
                <w:lang w:eastAsia="ja-JP"/>
              </w:rPr>
            </w:pPr>
            <w:r w:rsidRPr="00BC214E">
              <w:rPr>
                <w:b/>
                <w:kern w:val="0"/>
                <w:sz w:val="18"/>
                <w:szCs w:val="20"/>
                <w:lang w:eastAsia="ja-JP"/>
              </w:rPr>
              <w:t xml:space="preserve">[005] </w:t>
            </w:r>
            <w:r w:rsidRPr="00BC214E">
              <w:rPr>
                <w:b/>
                <w:kern w:val="0"/>
                <w:sz w:val="18"/>
                <w:szCs w:val="20"/>
                <w:highlight w:val="yellow"/>
                <w:lang w:eastAsia="ja-JP"/>
              </w:rPr>
              <w:t>Postpone the discussion on how to determine whether a RedCap UE is 1Rx or 2Rx</w:t>
            </w:r>
            <w:r w:rsidRPr="00BC214E">
              <w:rPr>
                <w:b/>
                <w:kern w:val="0"/>
                <w:sz w:val="18"/>
                <w:szCs w:val="20"/>
                <w:lang w:eastAsia="ja-JP"/>
              </w:rPr>
              <w:t>.</w:t>
            </w:r>
          </w:p>
        </w:tc>
      </w:tr>
    </w:tbl>
    <w:p w14:paraId="18E21BB1" w14:textId="02139AF3" w:rsidR="00346E8E" w:rsidRPr="00346E8E" w:rsidRDefault="007E64FE" w:rsidP="004C4B03">
      <w:pPr>
        <w:spacing w:before="120"/>
        <w:rPr>
          <w:rFonts w:ascii="Times New Roman" w:eastAsiaTheme="minorEastAsia" w:hAnsi="Times New Roman"/>
          <w:lang w:val="en-GB"/>
        </w:rPr>
      </w:pPr>
      <w:r>
        <w:rPr>
          <w:rFonts w:ascii="Times New Roman" w:eastAsiaTheme="minorEastAsia" w:hAnsi="Times New Roman" w:hint="eastAsia"/>
          <w:lang w:val="en-GB"/>
        </w:rPr>
        <w:t>I</w:t>
      </w:r>
      <w:r>
        <w:rPr>
          <w:rFonts w:ascii="Times New Roman" w:eastAsiaTheme="minorEastAsia" w:hAnsi="Times New Roman"/>
          <w:lang w:val="en-GB"/>
        </w:rPr>
        <w:t>n this contribution, we continue to discuss this issue and share our views.</w:t>
      </w:r>
      <w:r w:rsidR="00346E8E">
        <w:rPr>
          <w:rFonts w:ascii="Times New Roman" w:eastAsiaTheme="minorEastAsia" w:hAnsi="Times New Roman"/>
          <w:lang w:val="en-GB"/>
        </w:rPr>
        <w:t xml:space="preserve"> </w:t>
      </w:r>
    </w:p>
    <w:p w14:paraId="75FFE917" w14:textId="4E4AD441" w:rsidR="00467B75" w:rsidRDefault="00382C2F" w:rsidP="00880CE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D</w:t>
      </w:r>
      <w:r>
        <w:rPr>
          <w:rFonts w:eastAsiaTheme="minorEastAsia" w:cs="Arial"/>
          <w:b w:val="0"/>
          <w:bCs w:val="0"/>
          <w:kern w:val="0"/>
          <w:sz w:val="32"/>
          <w:szCs w:val="36"/>
        </w:rPr>
        <w:t>iscussion</w:t>
      </w:r>
    </w:p>
    <w:p w14:paraId="03FBBD02" w14:textId="4F4FCDBB" w:rsidR="00332F87" w:rsidRPr="007E64FE" w:rsidRDefault="007E64FE" w:rsidP="004C4B03">
      <w:pPr>
        <w:spacing w:before="12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 xml:space="preserve">ccording to the </w:t>
      </w:r>
      <w:r w:rsidR="00934D46">
        <w:rPr>
          <w:rFonts w:ascii="Times New Roman" w:eastAsiaTheme="minorEastAsia" w:hAnsi="Times New Roman"/>
        </w:rPr>
        <w:t>analysis</w:t>
      </w:r>
      <w:r>
        <w:rPr>
          <w:rFonts w:ascii="Times New Roman" w:eastAsiaTheme="minorEastAsia" w:hAnsi="Times New Roman"/>
        </w:rPr>
        <w:t xml:space="preserve"> in [1], </w:t>
      </w:r>
      <w:r w:rsidR="00934D46">
        <w:rPr>
          <w:rFonts w:ascii="Times New Roman" w:eastAsiaTheme="minorEastAsia" w:hAnsi="Times New Roman"/>
        </w:rPr>
        <w:t xml:space="preserve">the ambiguity issue appears because RedCap UE type (1Rx or 2Rx) is associated with its </w:t>
      </w:r>
      <w:r w:rsidR="00224718">
        <w:rPr>
          <w:rFonts w:ascii="Times New Roman" w:eastAsiaTheme="minorEastAsia" w:hAnsi="Times New Roman"/>
        </w:rPr>
        <w:t>DL</w:t>
      </w:r>
      <w:r w:rsidR="00934D46">
        <w:rPr>
          <w:rFonts w:ascii="Times New Roman" w:eastAsiaTheme="minorEastAsia" w:hAnsi="Times New Roman"/>
        </w:rPr>
        <w:t xml:space="preserve"> MIMO capability, but the </w:t>
      </w:r>
      <w:r w:rsidR="00224718">
        <w:rPr>
          <w:rFonts w:ascii="Times New Roman" w:eastAsiaTheme="minorEastAsia" w:hAnsi="Times New Roman"/>
        </w:rPr>
        <w:t>D</w:t>
      </w:r>
      <w:r w:rsidR="00934D46">
        <w:rPr>
          <w:rFonts w:ascii="Times New Roman" w:eastAsiaTheme="minorEastAsia" w:hAnsi="Times New Roman"/>
        </w:rPr>
        <w:t>L MIMO capability is defined as per-FSPC level</w:t>
      </w:r>
      <w:r w:rsidR="00224718">
        <w:rPr>
          <w:rFonts w:ascii="Times New Roman" w:eastAsiaTheme="minorEastAsia" w:hAnsi="Times New Roman"/>
        </w:rPr>
        <w:t xml:space="preserve"> (not per-UE level)</w:t>
      </w:r>
      <w:r w:rsidR="00934D46">
        <w:rPr>
          <w:rFonts w:ascii="Times New Roman" w:eastAsiaTheme="minorEastAsia" w:hAnsi="Times New Roman"/>
        </w:rPr>
        <w:t xml:space="preserve">, so from network perspective, </w:t>
      </w:r>
      <w:r w:rsidR="00224718">
        <w:rPr>
          <w:rFonts w:ascii="Times New Roman" w:eastAsiaTheme="minorEastAsia" w:hAnsi="Times New Roman"/>
        </w:rPr>
        <w:t>if</w:t>
      </w:r>
      <w:r w:rsidR="00934D46">
        <w:rPr>
          <w:rFonts w:ascii="Times New Roman" w:eastAsiaTheme="minorEastAsia" w:hAnsi="Times New Roman"/>
        </w:rPr>
        <w:t xml:space="preserve"> </w:t>
      </w:r>
      <w:r w:rsidR="00224718">
        <w:rPr>
          <w:rFonts w:ascii="Times New Roman" w:eastAsiaTheme="minorEastAsia" w:hAnsi="Times New Roman"/>
        </w:rPr>
        <w:t>a</w:t>
      </w:r>
      <w:r w:rsidR="00934D46">
        <w:rPr>
          <w:rFonts w:ascii="Times New Roman" w:eastAsiaTheme="minorEastAsia" w:hAnsi="Times New Roman"/>
        </w:rPr>
        <w:t xml:space="preserve"> UE </w:t>
      </w:r>
      <w:r w:rsidR="00332F87">
        <w:rPr>
          <w:rFonts w:ascii="Times New Roman" w:eastAsiaTheme="minorEastAsia" w:hAnsi="Times New Roman"/>
        </w:rPr>
        <w:t>signal</w:t>
      </w:r>
      <w:r w:rsidR="00934D46">
        <w:rPr>
          <w:rFonts w:ascii="Times New Roman" w:eastAsiaTheme="minorEastAsia" w:hAnsi="Times New Roman"/>
        </w:rPr>
        <w:t>s 2-layers UL MIMO for at least one FS</w:t>
      </w:r>
      <w:r w:rsidR="00332F87">
        <w:rPr>
          <w:rFonts w:ascii="Times New Roman" w:eastAsiaTheme="minorEastAsia" w:hAnsi="Times New Roman"/>
        </w:rPr>
        <w:t>, it is unclear whether the network can switch the UE to a target cell which cellBarredRedCap2Rx is set to “barred” in SIB1 (</w:t>
      </w:r>
      <w:r w:rsidR="00224718">
        <w:rPr>
          <w:rFonts w:ascii="Times New Roman" w:eastAsiaTheme="minorEastAsia" w:hAnsi="Times New Roman"/>
        </w:rPr>
        <w:t>i.e. case 3 in below table</w:t>
      </w:r>
      <w:r w:rsidR="00332F87">
        <w:rPr>
          <w:rFonts w:ascii="Times New Roman" w:eastAsiaTheme="minorEastAsia" w:hAnsi="Times New Roman"/>
        </w:rPr>
        <w:t>).</w:t>
      </w:r>
    </w:p>
    <w:tbl>
      <w:tblPr>
        <w:tblStyle w:val="aff0"/>
        <w:tblW w:w="9776" w:type="dxa"/>
        <w:tblLayout w:type="fixed"/>
        <w:tblLook w:val="04A0" w:firstRow="1" w:lastRow="0" w:firstColumn="1" w:lastColumn="0" w:noHBand="0" w:noVBand="1"/>
      </w:tblPr>
      <w:tblGrid>
        <w:gridCol w:w="846"/>
        <w:gridCol w:w="1843"/>
        <w:gridCol w:w="1842"/>
        <w:gridCol w:w="5245"/>
      </w:tblGrid>
      <w:tr w:rsidR="00332F87" w14:paraId="580ECFAE" w14:textId="77777777" w:rsidTr="00F80964">
        <w:tc>
          <w:tcPr>
            <w:tcW w:w="846" w:type="dxa"/>
            <w:shd w:val="clear" w:color="auto" w:fill="BDE2FF" w:themeFill="text2" w:themeFillTint="33"/>
          </w:tcPr>
          <w:p w14:paraId="47487A5E" w14:textId="77777777" w:rsidR="00332F87" w:rsidRPr="00DF7EAA" w:rsidRDefault="00332F87" w:rsidP="00F80964">
            <w:pPr>
              <w:spacing w:before="120"/>
              <w:jc w:val="center"/>
              <w:rPr>
                <w:rFonts w:ascii="Calibri" w:eastAsiaTheme="minorEastAsia" w:hAnsi="Calibri" w:cs="Calibri"/>
                <w:b/>
                <w:lang w:eastAsia="zh-CN"/>
              </w:rPr>
            </w:pPr>
            <w:r w:rsidRPr="00DF7EAA">
              <w:rPr>
                <w:rFonts w:ascii="Calibri" w:eastAsiaTheme="minorEastAsia" w:hAnsi="Calibri" w:cs="Calibri"/>
                <w:b/>
                <w:lang w:eastAsia="zh-CN"/>
              </w:rPr>
              <w:t>Cases</w:t>
            </w:r>
          </w:p>
        </w:tc>
        <w:tc>
          <w:tcPr>
            <w:tcW w:w="1843" w:type="dxa"/>
            <w:shd w:val="clear" w:color="auto" w:fill="BDE2FF" w:themeFill="text2" w:themeFillTint="33"/>
          </w:tcPr>
          <w:p w14:paraId="428B4E93" w14:textId="77777777" w:rsidR="00332F87" w:rsidRPr="00DF7EAA" w:rsidRDefault="00332F87" w:rsidP="00F80964">
            <w:pPr>
              <w:spacing w:before="120"/>
              <w:jc w:val="center"/>
              <w:rPr>
                <w:rFonts w:ascii="Calibri" w:eastAsiaTheme="minorEastAsia" w:hAnsi="Calibri" w:cs="Calibri"/>
                <w:b/>
                <w:lang w:eastAsia="zh-CN"/>
              </w:rPr>
            </w:pPr>
            <w:r w:rsidRPr="00DF7EAA">
              <w:rPr>
                <w:rFonts w:ascii="Calibri" w:eastAsiaTheme="minorEastAsia" w:hAnsi="Calibri" w:cs="Calibri"/>
                <w:b/>
                <w:lang w:eastAsia="zh-CN"/>
              </w:rPr>
              <w:t>cellBarredRedCap1Rx</w:t>
            </w:r>
          </w:p>
        </w:tc>
        <w:tc>
          <w:tcPr>
            <w:tcW w:w="1842" w:type="dxa"/>
            <w:shd w:val="clear" w:color="auto" w:fill="BDE2FF" w:themeFill="text2" w:themeFillTint="33"/>
          </w:tcPr>
          <w:p w14:paraId="755242DA" w14:textId="77777777" w:rsidR="00332F87" w:rsidRPr="00DF7EAA" w:rsidRDefault="00332F87" w:rsidP="00F80964">
            <w:pPr>
              <w:spacing w:before="120"/>
              <w:jc w:val="center"/>
              <w:rPr>
                <w:rFonts w:ascii="Calibri" w:eastAsiaTheme="minorEastAsia" w:hAnsi="Calibri" w:cs="Calibri"/>
                <w:b/>
                <w:lang w:eastAsia="zh-CN"/>
              </w:rPr>
            </w:pPr>
            <w:r w:rsidRPr="00DF7EAA">
              <w:rPr>
                <w:rFonts w:ascii="Calibri" w:eastAsiaTheme="minorEastAsia" w:hAnsi="Calibri" w:cs="Calibri"/>
                <w:b/>
                <w:lang w:eastAsia="zh-CN"/>
              </w:rPr>
              <w:t>cellBarredRedCap2Rx</w:t>
            </w:r>
          </w:p>
        </w:tc>
        <w:tc>
          <w:tcPr>
            <w:tcW w:w="5245" w:type="dxa"/>
            <w:shd w:val="clear" w:color="auto" w:fill="BDE2FF" w:themeFill="text2" w:themeFillTint="33"/>
          </w:tcPr>
          <w:p w14:paraId="6FDBA326" w14:textId="77777777" w:rsidR="00332F87" w:rsidRPr="00DF7EAA" w:rsidRDefault="00332F87" w:rsidP="00F80964">
            <w:pPr>
              <w:spacing w:before="120"/>
              <w:jc w:val="center"/>
              <w:rPr>
                <w:rFonts w:ascii="Calibri" w:eastAsiaTheme="minorEastAsia" w:hAnsi="Calibri" w:cs="Calibri"/>
                <w:b/>
                <w:lang w:eastAsia="zh-CN"/>
              </w:rPr>
            </w:pPr>
            <w:r w:rsidRPr="00DF7EAA">
              <w:rPr>
                <w:rFonts w:ascii="Calibri" w:eastAsiaTheme="minorEastAsia" w:hAnsi="Calibri" w:cs="Calibri"/>
                <w:b/>
                <w:lang w:eastAsia="zh-CN"/>
              </w:rPr>
              <w:t>Note</w:t>
            </w:r>
          </w:p>
        </w:tc>
      </w:tr>
      <w:tr w:rsidR="00332F87" w14:paraId="273FA500" w14:textId="77777777" w:rsidTr="00F80964">
        <w:tc>
          <w:tcPr>
            <w:tcW w:w="846" w:type="dxa"/>
          </w:tcPr>
          <w:p w14:paraId="4B422F2F" w14:textId="77777777" w:rsidR="00332F87" w:rsidRDefault="00332F87" w:rsidP="00F80964">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1</w:t>
            </w:r>
          </w:p>
        </w:tc>
        <w:tc>
          <w:tcPr>
            <w:tcW w:w="1843" w:type="dxa"/>
          </w:tcPr>
          <w:p w14:paraId="45190A45" w14:textId="77777777" w:rsidR="00332F87" w:rsidRDefault="00332F87" w:rsidP="00F80964">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arred</w:t>
            </w:r>
          </w:p>
        </w:tc>
        <w:tc>
          <w:tcPr>
            <w:tcW w:w="1842" w:type="dxa"/>
          </w:tcPr>
          <w:p w14:paraId="6CABDDFE" w14:textId="77777777" w:rsidR="00332F87" w:rsidRDefault="00332F87" w:rsidP="00F80964">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arred</w:t>
            </w:r>
          </w:p>
        </w:tc>
        <w:tc>
          <w:tcPr>
            <w:tcW w:w="5245" w:type="dxa"/>
          </w:tcPr>
          <w:p w14:paraId="18704CD1" w14:textId="77777777" w:rsidR="00332F87" w:rsidRDefault="00332F87" w:rsidP="00F80964">
            <w:pPr>
              <w:snapToGrid w:val="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oth 1Rx and 2Rx RedCap UEs cannot access the cell.</w:t>
            </w:r>
          </w:p>
        </w:tc>
      </w:tr>
      <w:tr w:rsidR="00332F87" w14:paraId="5BFA90DE" w14:textId="77777777" w:rsidTr="00F80964">
        <w:tc>
          <w:tcPr>
            <w:tcW w:w="846" w:type="dxa"/>
          </w:tcPr>
          <w:p w14:paraId="4FA9B7E2" w14:textId="77777777" w:rsidR="00332F87" w:rsidRDefault="00332F87" w:rsidP="00F80964">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2</w:t>
            </w:r>
          </w:p>
        </w:tc>
        <w:tc>
          <w:tcPr>
            <w:tcW w:w="1843" w:type="dxa"/>
          </w:tcPr>
          <w:p w14:paraId="3D002C7F" w14:textId="77777777" w:rsidR="00332F87" w:rsidRDefault="00332F87" w:rsidP="00F80964">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arred</w:t>
            </w:r>
          </w:p>
        </w:tc>
        <w:tc>
          <w:tcPr>
            <w:tcW w:w="1842" w:type="dxa"/>
          </w:tcPr>
          <w:p w14:paraId="4AB7E458" w14:textId="77777777" w:rsidR="00332F87" w:rsidRDefault="00332F87" w:rsidP="00F80964">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barred</w:t>
            </w:r>
          </w:p>
        </w:tc>
        <w:tc>
          <w:tcPr>
            <w:tcW w:w="5245" w:type="dxa"/>
          </w:tcPr>
          <w:p w14:paraId="0BBFE681" w14:textId="77777777" w:rsidR="00332F87" w:rsidRDefault="00332F87" w:rsidP="00F80964">
            <w:pPr>
              <w:snapToGrid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nly 2Rx RedCap UEs can access the cell.</w:t>
            </w:r>
          </w:p>
        </w:tc>
      </w:tr>
      <w:tr w:rsidR="00332F87" w14:paraId="2BBCD353" w14:textId="77777777" w:rsidTr="00F80964">
        <w:tc>
          <w:tcPr>
            <w:tcW w:w="846" w:type="dxa"/>
          </w:tcPr>
          <w:p w14:paraId="369482B8" w14:textId="77777777" w:rsidR="00332F87" w:rsidRPr="00DF7EAA" w:rsidRDefault="00332F87" w:rsidP="00F80964">
            <w:pPr>
              <w:snapToGrid w:val="0"/>
              <w:jc w:val="center"/>
              <w:rPr>
                <w:rFonts w:ascii="Times New Roman" w:eastAsiaTheme="minorEastAsia" w:hAnsi="Times New Roman"/>
                <w:color w:val="FF0000"/>
                <w:lang w:eastAsia="zh-CN"/>
              </w:rPr>
            </w:pPr>
            <w:r w:rsidRPr="00DF7EAA">
              <w:rPr>
                <w:rFonts w:ascii="Times New Roman" w:eastAsiaTheme="minorEastAsia" w:hAnsi="Times New Roman" w:hint="eastAsia"/>
                <w:color w:val="FF0000"/>
                <w:lang w:eastAsia="zh-CN"/>
              </w:rPr>
              <w:t>3</w:t>
            </w:r>
          </w:p>
        </w:tc>
        <w:tc>
          <w:tcPr>
            <w:tcW w:w="1843" w:type="dxa"/>
          </w:tcPr>
          <w:p w14:paraId="7A67A029" w14:textId="77777777" w:rsidR="00332F87" w:rsidRPr="00DF7EAA" w:rsidRDefault="00332F87" w:rsidP="00F80964">
            <w:pPr>
              <w:snapToGrid w:val="0"/>
              <w:jc w:val="center"/>
              <w:rPr>
                <w:rFonts w:ascii="Times New Roman" w:eastAsiaTheme="minorEastAsia" w:hAnsi="Times New Roman"/>
                <w:color w:val="FF0000"/>
                <w:lang w:eastAsia="zh-CN"/>
              </w:rPr>
            </w:pPr>
            <w:r w:rsidRPr="00DF7EAA">
              <w:rPr>
                <w:rFonts w:ascii="Times New Roman" w:eastAsiaTheme="minorEastAsia" w:hAnsi="Times New Roman" w:hint="eastAsia"/>
                <w:color w:val="FF0000"/>
                <w:lang w:eastAsia="zh-CN"/>
              </w:rPr>
              <w:t>n</w:t>
            </w:r>
            <w:r w:rsidRPr="00DF7EAA">
              <w:rPr>
                <w:rFonts w:ascii="Times New Roman" w:eastAsiaTheme="minorEastAsia" w:hAnsi="Times New Roman"/>
                <w:color w:val="FF0000"/>
                <w:lang w:eastAsia="zh-CN"/>
              </w:rPr>
              <w:t>ot barred</w:t>
            </w:r>
          </w:p>
        </w:tc>
        <w:tc>
          <w:tcPr>
            <w:tcW w:w="1842" w:type="dxa"/>
          </w:tcPr>
          <w:p w14:paraId="7478447F" w14:textId="77777777" w:rsidR="00332F87" w:rsidRPr="00DF7EAA" w:rsidRDefault="00332F87" w:rsidP="00F80964">
            <w:pPr>
              <w:snapToGrid w:val="0"/>
              <w:jc w:val="center"/>
              <w:rPr>
                <w:rFonts w:ascii="Times New Roman" w:eastAsiaTheme="minorEastAsia" w:hAnsi="Times New Roman"/>
                <w:color w:val="FF0000"/>
                <w:lang w:eastAsia="zh-CN"/>
              </w:rPr>
            </w:pPr>
            <w:r w:rsidRPr="00DF7EAA">
              <w:rPr>
                <w:rFonts w:ascii="Times New Roman" w:eastAsiaTheme="minorEastAsia" w:hAnsi="Times New Roman" w:hint="eastAsia"/>
                <w:color w:val="FF0000"/>
                <w:lang w:eastAsia="zh-CN"/>
              </w:rPr>
              <w:t>b</w:t>
            </w:r>
            <w:r w:rsidRPr="00DF7EAA">
              <w:rPr>
                <w:rFonts w:ascii="Times New Roman" w:eastAsiaTheme="minorEastAsia" w:hAnsi="Times New Roman"/>
                <w:color w:val="FF0000"/>
                <w:lang w:eastAsia="zh-CN"/>
              </w:rPr>
              <w:t>arred</w:t>
            </w:r>
          </w:p>
        </w:tc>
        <w:tc>
          <w:tcPr>
            <w:tcW w:w="5245" w:type="dxa"/>
          </w:tcPr>
          <w:p w14:paraId="44E8A2DD" w14:textId="77777777" w:rsidR="00332F87" w:rsidRPr="00DF7EAA" w:rsidRDefault="00332F87" w:rsidP="00F80964">
            <w:pPr>
              <w:snapToGrid w:val="0"/>
              <w:rPr>
                <w:rFonts w:ascii="Times New Roman" w:eastAsiaTheme="minorEastAsia" w:hAnsi="Times New Roman"/>
                <w:color w:val="FF0000"/>
                <w:lang w:eastAsia="zh-CN"/>
              </w:rPr>
            </w:pPr>
            <w:r w:rsidRPr="00DF7EAA">
              <w:rPr>
                <w:rFonts w:ascii="Times New Roman" w:eastAsiaTheme="minorEastAsia" w:hAnsi="Times New Roman" w:hint="eastAsia"/>
                <w:color w:val="FF0000"/>
                <w:lang w:eastAsia="zh-CN"/>
              </w:rPr>
              <w:t>O</w:t>
            </w:r>
            <w:r w:rsidRPr="00DF7EAA">
              <w:rPr>
                <w:rFonts w:ascii="Times New Roman" w:eastAsiaTheme="minorEastAsia" w:hAnsi="Times New Roman"/>
                <w:color w:val="FF0000"/>
                <w:lang w:eastAsia="zh-CN"/>
              </w:rPr>
              <w:t>nly 1Rx RedCap UEs can access the cell</w:t>
            </w:r>
            <w:r>
              <w:rPr>
                <w:rFonts w:ascii="Times New Roman" w:eastAsiaTheme="minorEastAsia" w:hAnsi="Times New Roman"/>
                <w:color w:val="FF0000"/>
                <w:lang w:eastAsia="zh-CN"/>
              </w:rPr>
              <w:t>.</w:t>
            </w:r>
          </w:p>
        </w:tc>
      </w:tr>
      <w:tr w:rsidR="00332F87" w14:paraId="7D9E2B21" w14:textId="77777777" w:rsidTr="00F80964">
        <w:tc>
          <w:tcPr>
            <w:tcW w:w="846" w:type="dxa"/>
          </w:tcPr>
          <w:p w14:paraId="0603E53B" w14:textId="77777777" w:rsidR="00332F87" w:rsidRDefault="00332F87" w:rsidP="00F80964">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4</w:t>
            </w:r>
          </w:p>
        </w:tc>
        <w:tc>
          <w:tcPr>
            <w:tcW w:w="1843" w:type="dxa"/>
          </w:tcPr>
          <w:p w14:paraId="5E7DC63F" w14:textId="77777777" w:rsidR="00332F87" w:rsidRDefault="00332F87" w:rsidP="00F80964">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barred</w:t>
            </w:r>
          </w:p>
        </w:tc>
        <w:tc>
          <w:tcPr>
            <w:tcW w:w="1842" w:type="dxa"/>
          </w:tcPr>
          <w:p w14:paraId="1A2B5979" w14:textId="77777777" w:rsidR="00332F87" w:rsidRDefault="00332F87" w:rsidP="00F80964">
            <w:pPr>
              <w:snapToGrid w:val="0"/>
              <w:jc w:val="cente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barred</w:t>
            </w:r>
          </w:p>
        </w:tc>
        <w:tc>
          <w:tcPr>
            <w:tcW w:w="5245" w:type="dxa"/>
          </w:tcPr>
          <w:p w14:paraId="0C1430BB" w14:textId="77777777" w:rsidR="00332F87" w:rsidRDefault="00332F87" w:rsidP="00F80964">
            <w:pPr>
              <w:snapToGrid w:val="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oth 1Rx and 2Rx RedCap UEs can access the cell.</w:t>
            </w:r>
          </w:p>
        </w:tc>
      </w:tr>
    </w:tbl>
    <w:p w14:paraId="3B209E0F" w14:textId="23D74D7A" w:rsidR="00934D46" w:rsidRDefault="00224718" w:rsidP="004C4B03">
      <w:pPr>
        <w:spacing w:before="12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 xml:space="preserve">s proposed in [1], if case 3 is allowed, then RAN2 needs to clarify which network behavior is aligned with UE’s expectation and two approaches are provided. </w:t>
      </w:r>
    </w:p>
    <w:p w14:paraId="536A1BC2" w14:textId="2B4687DA" w:rsidR="00934D46" w:rsidRPr="00934D46" w:rsidRDefault="00934D46" w:rsidP="00934D46">
      <w:pPr>
        <w:pStyle w:val="afffffffe"/>
        <w:numPr>
          <w:ilvl w:val="1"/>
          <w:numId w:val="16"/>
        </w:numPr>
        <w:tabs>
          <w:tab w:val="left" w:pos="709"/>
        </w:tabs>
        <w:spacing w:after="0"/>
        <w:ind w:left="1985" w:hanging="1565"/>
        <w:contextualSpacing w:val="0"/>
        <w:rPr>
          <w:rFonts w:ascii="Times New Roman" w:eastAsiaTheme="minorEastAsia" w:hAnsi="Times New Roman"/>
        </w:rPr>
      </w:pPr>
      <w:r w:rsidRPr="00934D46">
        <w:rPr>
          <w:rFonts w:ascii="Times New Roman" w:eastAsiaTheme="minorEastAsia" w:hAnsi="Times New Roman"/>
        </w:rPr>
        <w:t>Approach 1.1:</w:t>
      </w:r>
      <w:r>
        <w:rPr>
          <w:rFonts w:ascii="Times New Roman" w:eastAsiaTheme="minorEastAsia" w:hAnsi="Times New Roman"/>
        </w:rPr>
        <w:tab/>
      </w:r>
      <w:r w:rsidRPr="00934D46">
        <w:rPr>
          <w:rFonts w:ascii="Times New Roman" w:eastAsiaTheme="minorEastAsia" w:hAnsi="Times New Roman"/>
        </w:rPr>
        <w:t xml:space="preserve">The network </w:t>
      </w:r>
      <w:r w:rsidRPr="00934D46">
        <w:rPr>
          <w:rFonts w:ascii="Times New Roman" w:eastAsiaTheme="minorEastAsia" w:hAnsi="Times New Roman"/>
          <w:color w:val="C00000"/>
        </w:rPr>
        <w:t xml:space="preserve">CANNOT </w:t>
      </w:r>
      <w:r w:rsidRPr="00934D46">
        <w:rPr>
          <w:rFonts w:ascii="Times New Roman" w:eastAsiaTheme="minorEastAsia" w:hAnsi="Times New Roman"/>
        </w:rPr>
        <w:t xml:space="preserve">switch a RedCap UE (with 2 layers DL MIMO capability) to the cell </w:t>
      </w:r>
      <w:r w:rsidRPr="00934D46">
        <w:rPr>
          <w:rFonts w:ascii="Times New Roman" w:eastAsiaTheme="minorEastAsia" w:hAnsi="Times New Roman"/>
        </w:rPr>
        <w:lastRenderedPageBreak/>
        <w:t xml:space="preserve">which cellBarredRedCap2Rx is set to barred.   </w:t>
      </w:r>
    </w:p>
    <w:p w14:paraId="28B7B925" w14:textId="7C39164C" w:rsidR="00934D46" w:rsidRPr="00934D46" w:rsidRDefault="00934D46" w:rsidP="00934D46">
      <w:pPr>
        <w:pStyle w:val="afffffffe"/>
        <w:numPr>
          <w:ilvl w:val="1"/>
          <w:numId w:val="16"/>
        </w:numPr>
        <w:tabs>
          <w:tab w:val="left" w:pos="709"/>
        </w:tabs>
        <w:spacing w:after="0"/>
        <w:ind w:left="1985" w:hanging="1565"/>
        <w:contextualSpacing w:val="0"/>
        <w:rPr>
          <w:rFonts w:ascii="Times New Roman" w:eastAsiaTheme="minorEastAsia" w:hAnsi="Times New Roman"/>
        </w:rPr>
      </w:pPr>
      <w:r w:rsidRPr="00934D46">
        <w:rPr>
          <w:rFonts w:ascii="Times New Roman" w:eastAsiaTheme="minorEastAsia" w:hAnsi="Times New Roman"/>
        </w:rPr>
        <w:t xml:space="preserve">Approach 1.2: The network </w:t>
      </w:r>
      <w:r w:rsidRPr="00934D46">
        <w:rPr>
          <w:rFonts w:ascii="Times New Roman" w:eastAsiaTheme="minorEastAsia" w:hAnsi="Times New Roman"/>
          <w:color w:val="C00000"/>
        </w:rPr>
        <w:t xml:space="preserve">CAN </w:t>
      </w:r>
      <w:r w:rsidRPr="00934D46">
        <w:rPr>
          <w:rFonts w:ascii="Times New Roman" w:eastAsiaTheme="minorEastAsia" w:hAnsi="Times New Roman"/>
        </w:rPr>
        <w:t>switch a RedCap UE (with 2 layers DL MIMO capability) to the cell which cellBarredRedCap2Rx is set to ‘barred’ but cellBarredRedCap1Rx is set to ‘</w:t>
      </w:r>
      <w:proofErr w:type="spellStart"/>
      <w:r w:rsidRPr="00934D46">
        <w:rPr>
          <w:rFonts w:ascii="Times New Roman" w:eastAsiaTheme="minorEastAsia" w:hAnsi="Times New Roman"/>
        </w:rPr>
        <w:t>notbarred</w:t>
      </w:r>
      <w:proofErr w:type="spellEnd"/>
      <w:r w:rsidRPr="00934D46">
        <w:rPr>
          <w:rFonts w:ascii="Times New Roman" w:eastAsiaTheme="minorEastAsia" w:hAnsi="Times New Roman"/>
        </w:rPr>
        <w:t xml:space="preserve">’, as long as the network ensures the UE will not be configured with 2 layers DL MIMO in target cell. </w:t>
      </w:r>
    </w:p>
    <w:p w14:paraId="23DA401F" w14:textId="0DDC0F4A" w:rsidR="00E87BBB" w:rsidRDefault="00081836" w:rsidP="004C4B03">
      <w:pPr>
        <w:spacing w:before="120"/>
        <w:rPr>
          <w:rFonts w:ascii="Times New Roman" w:eastAsiaTheme="minorEastAsia" w:hAnsi="Times New Roman"/>
        </w:rPr>
      </w:pPr>
      <w:r>
        <w:rPr>
          <w:rFonts w:ascii="Times New Roman" w:eastAsiaTheme="minorEastAsia" w:hAnsi="Times New Roman" w:hint="eastAsia"/>
        </w:rPr>
        <w:t>B</w:t>
      </w:r>
      <w:r>
        <w:rPr>
          <w:rFonts w:ascii="Times New Roman" w:eastAsiaTheme="minorEastAsia" w:hAnsi="Times New Roman"/>
        </w:rPr>
        <w:t>ased on the offline discussion in RAN2#121bis-e</w:t>
      </w:r>
      <w:r w:rsidR="001D7E1F">
        <w:rPr>
          <w:rFonts w:ascii="Times New Roman" w:eastAsiaTheme="minorEastAsia" w:hAnsi="Times New Roman"/>
        </w:rPr>
        <w:t xml:space="preserve"> [2]</w:t>
      </w:r>
      <w:r>
        <w:rPr>
          <w:rFonts w:ascii="Times New Roman" w:eastAsiaTheme="minorEastAsia" w:hAnsi="Times New Roman"/>
        </w:rPr>
        <w:t xml:space="preserve">, several companies </w:t>
      </w:r>
      <w:r w:rsidR="001D7E1F">
        <w:rPr>
          <w:rFonts w:ascii="Times New Roman" w:eastAsiaTheme="minorEastAsia" w:hAnsi="Times New Roman"/>
        </w:rPr>
        <w:t>commented</w:t>
      </w:r>
      <w:r w:rsidR="00E87BBB">
        <w:rPr>
          <w:rFonts w:ascii="Times New Roman" w:eastAsiaTheme="minorEastAsia" w:hAnsi="Times New Roman"/>
        </w:rPr>
        <w:t xml:space="preserve"> that network should respect UE capability, thus </w:t>
      </w:r>
      <w:r w:rsidR="001D7E1F">
        <w:rPr>
          <w:rFonts w:ascii="Times New Roman" w:eastAsiaTheme="minorEastAsia" w:hAnsi="Times New Roman"/>
        </w:rPr>
        <w:t xml:space="preserve">it </w:t>
      </w:r>
      <w:r w:rsidR="00E87BBB">
        <w:rPr>
          <w:rFonts w:ascii="Times New Roman" w:eastAsiaTheme="minorEastAsia" w:hAnsi="Times New Roman"/>
        </w:rPr>
        <w:t xml:space="preserve">cannot move a UE to </w:t>
      </w:r>
      <w:r w:rsidR="001D7E1F">
        <w:rPr>
          <w:rFonts w:ascii="Times New Roman" w:eastAsiaTheme="minorEastAsia" w:hAnsi="Times New Roman"/>
        </w:rPr>
        <w:t>the</w:t>
      </w:r>
      <w:r w:rsidR="00E87BBB">
        <w:rPr>
          <w:rFonts w:ascii="Times New Roman" w:eastAsiaTheme="minorEastAsia" w:hAnsi="Times New Roman"/>
        </w:rPr>
        <w:t xml:space="preserve"> cell which UE cannot support</w:t>
      </w:r>
      <w:r w:rsidR="001D7E1F">
        <w:rPr>
          <w:rFonts w:ascii="Times New Roman" w:eastAsiaTheme="minorEastAsia" w:hAnsi="Times New Roman"/>
        </w:rPr>
        <w:t>.</w:t>
      </w:r>
      <w:r w:rsidR="00E87BBB">
        <w:rPr>
          <w:rFonts w:ascii="Times New Roman" w:eastAsiaTheme="minorEastAsia" w:hAnsi="Times New Roman"/>
        </w:rPr>
        <w:t xml:space="preserve"> </w:t>
      </w:r>
      <w:r w:rsidR="001D7E1F">
        <w:rPr>
          <w:rFonts w:ascii="Times New Roman" w:eastAsiaTheme="minorEastAsia" w:hAnsi="Times New Roman"/>
        </w:rPr>
        <w:t>O</w:t>
      </w:r>
      <w:r w:rsidR="00E87BBB">
        <w:rPr>
          <w:rFonts w:ascii="Times New Roman" w:eastAsiaTheme="minorEastAsia" w:hAnsi="Times New Roman"/>
        </w:rPr>
        <w:t>n the other hand, most companies think this is up to network implementation</w:t>
      </w:r>
      <w:r w:rsidR="001D7E1F">
        <w:rPr>
          <w:rFonts w:ascii="Times New Roman" w:eastAsiaTheme="minorEastAsia" w:hAnsi="Times New Roman"/>
        </w:rPr>
        <w:t xml:space="preserve"> and clarification is not needed</w:t>
      </w:r>
      <w:r w:rsidR="00E87BBB">
        <w:rPr>
          <w:rFonts w:ascii="Times New Roman" w:eastAsiaTheme="minorEastAsia" w:hAnsi="Times New Roman"/>
        </w:rPr>
        <w:t>.</w:t>
      </w:r>
    </w:p>
    <w:p w14:paraId="5089F3E6" w14:textId="662A62CE" w:rsidR="00092125" w:rsidRDefault="001D7E1F" w:rsidP="004C4B03">
      <w:pPr>
        <w:spacing w:before="120"/>
        <w:rPr>
          <w:rFonts w:ascii="Times New Roman" w:eastAsiaTheme="minorEastAsia" w:hAnsi="Times New Roman"/>
        </w:rPr>
      </w:pPr>
      <w:r>
        <w:rPr>
          <w:rFonts w:ascii="Times New Roman" w:eastAsiaTheme="minorEastAsia" w:hAnsi="Times New Roman"/>
        </w:rPr>
        <w:t xml:space="preserve">Regarding those comments, we </w:t>
      </w:r>
      <w:r>
        <w:rPr>
          <w:rFonts w:ascii="Times New Roman" w:eastAsiaTheme="minorEastAsia" w:hAnsi="Times New Roman" w:hint="eastAsia"/>
        </w:rPr>
        <w:t>think</w:t>
      </w:r>
      <w:r>
        <w:rPr>
          <w:rFonts w:ascii="Times New Roman" w:eastAsiaTheme="minorEastAsia" w:hAnsi="Times New Roman"/>
        </w:rPr>
        <w:t xml:space="preserve"> the key issue is </w:t>
      </w:r>
      <w:r w:rsidRPr="00092125">
        <w:rPr>
          <w:rFonts w:ascii="Times New Roman" w:eastAsiaTheme="minorEastAsia" w:hAnsi="Times New Roman"/>
          <w:b/>
        </w:rPr>
        <w:t>whether Approach 1.2 is feasible from UE perspective</w:t>
      </w:r>
      <w:r w:rsidR="00092125" w:rsidRPr="00092125">
        <w:rPr>
          <w:rFonts w:ascii="Times New Roman" w:eastAsiaTheme="minorEastAsia" w:hAnsi="Times New Roman"/>
          <w:b/>
        </w:rPr>
        <w:t>?</w:t>
      </w:r>
      <w:r>
        <w:rPr>
          <w:rFonts w:ascii="Times New Roman" w:eastAsiaTheme="minorEastAsia" w:hAnsi="Times New Roman"/>
        </w:rPr>
        <w:t xml:space="preserve"> e.g.</w:t>
      </w:r>
      <w:r w:rsidR="00092125">
        <w:rPr>
          <w:rFonts w:ascii="Times New Roman" w:eastAsiaTheme="minorEastAsia" w:hAnsi="Times New Roman"/>
        </w:rPr>
        <w:t xml:space="preserve"> after a UE equipped with 2Rx is switched to target cell, whether the UE will verify the cell barring indications broadcasted by the target cell and consider the network configuration is invalid? </w:t>
      </w:r>
    </w:p>
    <w:p w14:paraId="031D78D1" w14:textId="7206D7D7" w:rsidR="00AA7F02" w:rsidRDefault="00AA7F02" w:rsidP="004C4B03">
      <w:pPr>
        <w:spacing w:before="12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 xml:space="preserve">f confirms that UE does not verify cell barring configuration after handover completion, then we agree it is up to network implementation on whether a UE equipped with 2Rx can be moved to a cell that disallowing 2Rx UEs. </w:t>
      </w:r>
    </w:p>
    <w:p w14:paraId="0D686602" w14:textId="78467C93" w:rsidR="00AA7F02" w:rsidRPr="00A212C6" w:rsidRDefault="00AA7F02" w:rsidP="00AA7F02">
      <w:pPr>
        <w:spacing w:before="120"/>
        <w:ind w:left="1486" w:hangingChars="705" w:hanging="1486"/>
        <w:rPr>
          <w:rFonts w:ascii="Times New Roman" w:eastAsiaTheme="minorEastAsia" w:hAnsi="Times New Roman"/>
          <w:b/>
        </w:rPr>
      </w:pPr>
      <w:r w:rsidRPr="00A212C6">
        <w:rPr>
          <w:rFonts w:ascii="Times New Roman" w:hAnsi="Times New Roman"/>
          <w:b/>
        </w:rPr>
        <w:t>Observation 1</w:t>
      </w:r>
      <w:r>
        <w:rPr>
          <w:rFonts w:ascii="Times New Roman" w:hAnsi="Times New Roman"/>
          <w:b/>
        </w:rPr>
        <w:tab/>
        <w:t>The key issue is whether UE has problem when it is equipped with 2Rx but connect</w:t>
      </w:r>
      <w:r w:rsidR="009A40D7">
        <w:rPr>
          <w:rFonts w:ascii="Times New Roman" w:hAnsi="Times New Roman"/>
          <w:b/>
        </w:rPr>
        <w:t>s</w:t>
      </w:r>
      <w:r>
        <w:rPr>
          <w:rFonts w:ascii="Times New Roman" w:hAnsi="Times New Roman"/>
          <w:b/>
        </w:rPr>
        <w:t xml:space="preserve"> to a cell which cellBarredRedCap2Rx is set to “barred”</w:t>
      </w:r>
      <w:r w:rsidRPr="00A212C6">
        <w:rPr>
          <w:rFonts w:ascii="Times New Roman" w:hAnsi="Times New Roman"/>
          <w:b/>
        </w:rPr>
        <w:t>.</w:t>
      </w:r>
    </w:p>
    <w:p w14:paraId="123CCB20" w14:textId="77777777" w:rsidR="005B5AAA" w:rsidRDefault="00AA7F02" w:rsidP="004C4B03">
      <w:pPr>
        <w:spacing w:before="120"/>
        <w:rPr>
          <w:rFonts w:ascii="Times New Roman" w:eastAsiaTheme="minorEastAsia" w:hAnsi="Times New Roman"/>
        </w:rPr>
      </w:pPr>
      <w:r>
        <w:rPr>
          <w:rFonts w:ascii="Times New Roman" w:eastAsiaTheme="minorEastAsia" w:hAnsi="Times New Roman"/>
        </w:rPr>
        <w:t>Based on current specification, cell barring indications are being checked upon the initiation of RRC connection setup/resume, UE</w:t>
      </w:r>
      <w:r w:rsidR="009A40D7">
        <w:rPr>
          <w:rFonts w:ascii="Times New Roman" w:eastAsiaTheme="minorEastAsia" w:hAnsi="Times New Roman"/>
        </w:rPr>
        <w:t>s</w:t>
      </w:r>
      <w:r>
        <w:rPr>
          <w:rFonts w:ascii="Times New Roman" w:eastAsiaTheme="minorEastAsia" w:hAnsi="Times New Roman"/>
        </w:rPr>
        <w:t xml:space="preserve"> </w:t>
      </w:r>
      <w:r w:rsidR="009A40D7">
        <w:rPr>
          <w:rFonts w:ascii="Times New Roman" w:eastAsiaTheme="minorEastAsia" w:hAnsi="Times New Roman"/>
        </w:rPr>
        <w:t>are</w:t>
      </w:r>
      <w:r>
        <w:rPr>
          <w:rFonts w:ascii="Times New Roman" w:eastAsiaTheme="minorEastAsia" w:hAnsi="Times New Roman"/>
        </w:rPr>
        <w:t xml:space="preserve"> not required to check cell barring configuration during/after handover. From network perspective, the network</w:t>
      </w:r>
      <w:r w:rsidR="009A40D7">
        <w:rPr>
          <w:rFonts w:ascii="Times New Roman" w:eastAsiaTheme="minorEastAsia" w:hAnsi="Times New Roman"/>
        </w:rPr>
        <w:t xml:space="preserve"> configures</w:t>
      </w:r>
      <w:r>
        <w:rPr>
          <w:rFonts w:ascii="Times New Roman" w:eastAsiaTheme="minorEastAsia" w:hAnsi="Times New Roman"/>
        </w:rPr>
        <w:t xml:space="preserve"> “cellBarredRedCap1Rx” and “cellBarredRedCap2Rx” to restrict the initial access</w:t>
      </w:r>
      <w:r w:rsidR="009A40D7">
        <w:rPr>
          <w:rFonts w:ascii="Times New Roman" w:eastAsiaTheme="minorEastAsia" w:hAnsi="Times New Roman"/>
        </w:rPr>
        <w:t xml:space="preserve"> of specific type of idle/inactive UEs.</w:t>
      </w:r>
      <w:r>
        <w:rPr>
          <w:rFonts w:ascii="Times New Roman" w:eastAsiaTheme="minorEastAsia" w:hAnsi="Times New Roman"/>
        </w:rPr>
        <w:t xml:space="preserve"> </w:t>
      </w:r>
      <w:r w:rsidR="009A40D7">
        <w:rPr>
          <w:rFonts w:ascii="Times New Roman" w:eastAsiaTheme="minorEastAsia" w:hAnsi="Times New Roman"/>
        </w:rPr>
        <w:t>H</w:t>
      </w:r>
      <w:r>
        <w:rPr>
          <w:rFonts w:ascii="Times New Roman" w:eastAsiaTheme="minorEastAsia" w:hAnsi="Times New Roman"/>
        </w:rPr>
        <w:t xml:space="preserve">owever, it does not mean the network cannot serve those </w:t>
      </w:r>
      <w:r w:rsidR="009A40D7">
        <w:rPr>
          <w:rFonts w:ascii="Times New Roman" w:eastAsiaTheme="minorEastAsia" w:hAnsi="Times New Roman"/>
        </w:rPr>
        <w:t xml:space="preserve">UEs. For UEs in RRC_CONNECTED, the UE is entirely under the control of the network. Technically, the network will ensure the configuration does not beyond UE capability, but it does not mandate the network to </w:t>
      </w:r>
      <w:r w:rsidR="00BD2534">
        <w:rPr>
          <w:rFonts w:ascii="Times New Roman" w:eastAsiaTheme="minorEastAsia" w:hAnsi="Times New Roman"/>
        </w:rPr>
        <w:t xml:space="preserve">must </w:t>
      </w:r>
      <w:r w:rsidR="009A40D7">
        <w:rPr>
          <w:rFonts w:ascii="Times New Roman" w:eastAsiaTheme="minorEastAsia" w:hAnsi="Times New Roman"/>
        </w:rPr>
        <w:t>configure UE</w:t>
      </w:r>
      <w:r w:rsidR="00BD2534">
        <w:rPr>
          <w:rFonts w:ascii="Times New Roman" w:eastAsiaTheme="minorEastAsia" w:hAnsi="Times New Roman"/>
        </w:rPr>
        <w:t>s</w:t>
      </w:r>
      <w:r w:rsidR="009A40D7">
        <w:rPr>
          <w:rFonts w:ascii="Times New Roman" w:eastAsiaTheme="minorEastAsia" w:hAnsi="Times New Roman"/>
        </w:rPr>
        <w:t xml:space="preserve"> </w:t>
      </w:r>
      <w:r w:rsidR="00BD2534">
        <w:rPr>
          <w:rFonts w:ascii="Times New Roman" w:eastAsiaTheme="minorEastAsia" w:hAnsi="Times New Roman"/>
        </w:rPr>
        <w:t xml:space="preserve">in </w:t>
      </w:r>
      <w:r w:rsidR="009A40D7">
        <w:rPr>
          <w:rFonts w:ascii="Times New Roman" w:eastAsiaTheme="minorEastAsia" w:hAnsi="Times New Roman"/>
        </w:rPr>
        <w:t>accord</w:t>
      </w:r>
      <w:r w:rsidR="00BD2534">
        <w:rPr>
          <w:rFonts w:ascii="Times New Roman" w:eastAsiaTheme="minorEastAsia" w:hAnsi="Times New Roman"/>
        </w:rPr>
        <w:t>ance</w:t>
      </w:r>
      <w:r w:rsidR="009A40D7">
        <w:rPr>
          <w:rFonts w:ascii="Times New Roman" w:eastAsiaTheme="minorEastAsia" w:hAnsi="Times New Roman"/>
        </w:rPr>
        <w:t xml:space="preserve"> </w:t>
      </w:r>
      <w:r w:rsidR="00BD2534">
        <w:rPr>
          <w:rFonts w:ascii="Times New Roman" w:eastAsiaTheme="minorEastAsia" w:hAnsi="Times New Roman"/>
        </w:rPr>
        <w:t>with</w:t>
      </w:r>
      <w:r w:rsidR="009A40D7">
        <w:rPr>
          <w:rFonts w:ascii="Times New Roman" w:eastAsiaTheme="minorEastAsia" w:hAnsi="Times New Roman"/>
        </w:rPr>
        <w:t xml:space="preserve"> its system information.</w:t>
      </w:r>
      <w:r w:rsidR="005B5AAA">
        <w:rPr>
          <w:rFonts w:ascii="Times New Roman" w:eastAsiaTheme="minorEastAsia" w:hAnsi="Times New Roman" w:hint="eastAsia"/>
        </w:rPr>
        <w:t xml:space="preserve"> </w:t>
      </w:r>
    </w:p>
    <w:p w14:paraId="61581AF1" w14:textId="0CF175D5" w:rsidR="004D4456" w:rsidRDefault="00BD2534" w:rsidP="004C4B03">
      <w:pPr>
        <w:spacing w:before="120"/>
        <w:rPr>
          <w:rFonts w:ascii="Times New Roman" w:eastAsiaTheme="minorEastAsia" w:hAnsi="Times New Roman"/>
        </w:rPr>
      </w:pPr>
      <w:r>
        <w:rPr>
          <w:rFonts w:ascii="Times New Roman" w:eastAsiaTheme="minorEastAsia" w:hAnsi="Times New Roman"/>
        </w:rPr>
        <w:t xml:space="preserve">In LTE, there is use case that network will </w:t>
      </w:r>
      <w:r w:rsidR="005B5AAA">
        <w:rPr>
          <w:rFonts w:ascii="Times New Roman" w:eastAsiaTheme="minorEastAsia" w:hAnsi="Times New Roman"/>
        </w:rPr>
        <w:t>broadcast</w:t>
      </w:r>
      <w:r>
        <w:rPr>
          <w:rFonts w:ascii="Times New Roman" w:eastAsiaTheme="minorEastAsia" w:hAnsi="Times New Roman"/>
        </w:rPr>
        <w:t xml:space="preserve"> “barred” in MIB, but still allows</w:t>
      </w:r>
      <w:r w:rsidR="005B5AAA">
        <w:rPr>
          <w:rFonts w:ascii="Times New Roman" w:eastAsiaTheme="minorEastAsia" w:hAnsi="Times New Roman"/>
        </w:rPr>
        <w:t xml:space="preserve"> RRC_CONNECTED UEs to move in</w:t>
      </w:r>
      <w:r w:rsidR="008B319D">
        <w:rPr>
          <w:rFonts w:ascii="Times New Roman" w:eastAsiaTheme="minorEastAsia" w:hAnsi="Times New Roman"/>
        </w:rPr>
        <w:t xml:space="preserve"> (e.g. the cell is overloaded, but it can still support handover to avoid unexpected RLF)</w:t>
      </w:r>
      <w:r w:rsidR="005B5AAA">
        <w:rPr>
          <w:rFonts w:ascii="Times New Roman" w:eastAsiaTheme="minorEastAsia" w:hAnsi="Times New Roman"/>
        </w:rPr>
        <w:t>. Similarly</w:t>
      </w:r>
      <w:r w:rsidR="004D4456">
        <w:rPr>
          <w:rFonts w:ascii="Times New Roman" w:eastAsiaTheme="minorEastAsia" w:hAnsi="Times New Roman"/>
        </w:rPr>
        <w:t>, as network vendor, we hope network can have more flexibility that it can decide UE’s configuration irrespective of the cell barring configuration in SIB1</w:t>
      </w:r>
      <w:r w:rsidR="008C3697">
        <w:rPr>
          <w:rFonts w:ascii="Times New Roman" w:eastAsiaTheme="minorEastAsia" w:hAnsi="Times New Roman"/>
        </w:rPr>
        <w:t>,</w:t>
      </w:r>
      <w:r w:rsidR="004D4456">
        <w:rPr>
          <w:rFonts w:ascii="Times New Roman" w:eastAsiaTheme="minorEastAsia" w:hAnsi="Times New Roman"/>
        </w:rPr>
        <w:t xml:space="preserve"> </w:t>
      </w:r>
      <w:r w:rsidR="008C3697">
        <w:rPr>
          <w:rFonts w:ascii="Times New Roman" w:eastAsiaTheme="minorEastAsia" w:hAnsi="Times New Roman"/>
        </w:rPr>
        <w:t>e.g. d</w:t>
      </w:r>
      <w:r w:rsidR="004D4456">
        <w:rPr>
          <w:rFonts w:ascii="Times New Roman" w:eastAsiaTheme="minorEastAsia" w:hAnsi="Times New Roman"/>
        </w:rPr>
        <w:t>uring handover, it is up to the target cell to decide whether the UE can be admitted or not, if not, the target cell can reject the handover request</w:t>
      </w:r>
      <w:r w:rsidR="008C3697">
        <w:rPr>
          <w:rFonts w:ascii="Times New Roman" w:eastAsiaTheme="minorEastAsia" w:hAnsi="Times New Roman"/>
        </w:rPr>
        <w:t xml:space="preserve">; if admit, the target cell can configure the UE as long as it </w:t>
      </w:r>
      <w:r w:rsidR="00E94699">
        <w:rPr>
          <w:rFonts w:ascii="Times New Roman" w:eastAsiaTheme="minorEastAsia" w:hAnsi="Times New Roman"/>
        </w:rPr>
        <w:t>fulfills</w:t>
      </w:r>
      <w:r w:rsidR="008C3697">
        <w:rPr>
          <w:rFonts w:ascii="Times New Roman" w:eastAsiaTheme="minorEastAsia" w:hAnsi="Times New Roman"/>
        </w:rPr>
        <w:t xml:space="preserve"> UE capability.</w:t>
      </w:r>
    </w:p>
    <w:p w14:paraId="29EC1C13" w14:textId="103B8C0D" w:rsidR="00E94699" w:rsidRPr="00E94699" w:rsidRDefault="004D4456" w:rsidP="00E94699">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Pr>
          <w:rFonts w:ascii="Times New Roman" w:hAnsi="Times New Roman"/>
          <w:b/>
        </w:rPr>
        <w:t>2</w:t>
      </w:r>
      <w:r>
        <w:rPr>
          <w:rFonts w:ascii="Times New Roman" w:hAnsi="Times New Roman"/>
          <w:b/>
        </w:rPr>
        <w:tab/>
        <w:t xml:space="preserve">From network perspective, </w:t>
      </w:r>
      <w:r w:rsidR="002D3A10">
        <w:rPr>
          <w:rFonts w:ascii="Times New Roman" w:hAnsi="Times New Roman"/>
          <w:b/>
        </w:rPr>
        <w:t>the cell barring indication</w:t>
      </w:r>
      <w:r w:rsidR="00A4030B">
        <w:rPr>
          <w:rFonts w:ascii="Times New Roman" w:hAnsi="Times New Roman"/>
          <w:b/>
        </w:rPr>
        <w:t>s</w:t>
      </w:r>
      <w:r w:rsidR="002D3A10">
        <w:rPr>
          <w:rFonts w:ascii="Times New Roman" w:hAnsi="Times New Roman"/>
          <w:b/>
        </w:rPr>
        <w:t xml:space="preserve"> in MIB/SIB </w:t>
      </w:r>
      <w:r w:rsidR="00A4030B">
        <w:rPr>
          <w:rFonts w:ascii="Times New Roman" w:hAnsi="Times New Roman"/>
          <w:b/>
        </w:rPr>
        <w:t>are</w:t>
      </w:r>
      <w:r w:rsidR="002D3A10">
        <w:rPr>
          <w:rFonts w:ascii="Times New Roman" w:hAnsi="Times New Roman"/>
          <w:b/>
        </w:rPr>
        <w:t xml:space="preserve"> used to control the access of </w:t>
      </w:r>
      <w:r w:rsidR="00A4030B">
        <w:rPr>
          <w:rFonts w:ascii="Times New Roman" w:hAnsi="Times New Roman"/>
          <w:b/>
        </w:rPr>
        <w:t>RRC_IDLE/RRC_INACTIVE</w:t>
      </w:r>
      <w:r w:rsidR="002D3A10">
        <w:rPr>
          <w:rFonts w:ascii="Times New Roman" w:hAnsi="Times New Roman"/>
          <w:b/>
        </w:rPr>
        <w:t xml:space="preserve"> UEs, the network may have different access bars for RRC_CONNECTED UEs</w:t>
      </w:r>
      <w:r w:rsidRPr="00A212C6">
        <w:rPr>
          <w:rFonts w:ascii="Times New Roman" w:hAnsi="Times New Roman"/>
          <w:b/>
        </w:rPr>
        <w:t>.</w:t>
      </w:r>
    </w:p>
    <w:p w14:paraId="510F9483" w14:textId="1717EBDA" w:rsidR="003C3561" w:rsidRPr="002D3A10" w:rsidRDefault="00D57917" w:rsidP="004C4B03">
      <w:pPr>
        <w:spacing w:before="120"/>
        <w:rPr>
          <w:rFonts w:ascii="Times New Roman" w:eastAsiaTheme="minorEastAsia" w:hAnsi="Times New Roman"/>
        </w:rPr>
      </w:pPr>
      <w:r>
        <w:rPr>
          <w:rFonts w:ascii="Times New Roman" w:eastAsiaTheme="minorEastAsia" w:hAnsi="Times New Roman"/>
        </w:rPr>
        <w:t xml:space="preserve">Therefore, we suggest to </w:t>
      </w:r>
      <w:r w:rsidR="00A4030B">
        <w:rPr>
          <w:rFonts w:ascii="Times New Roman" w:eastAsiaTheme="minorEastAsia" w:hAnsi="Times New Roman"/>
        </w:rPr>
        <w:t xml:space="preserve">confirm the feasibility of switching a 2Rx-capable UE to a cell that cellBarredRedCap2Rx is set to </w:t>
      </w:r>
      <w:r w:rsidR="003C3561">
        <w:rPr>
          <w:rFonts w:ascii="Times New Roman" w:eastAsiaTheme="minorEastAsia" w:hAnsi="Times New Roman"/>
        </w:rPr>
        <w:t>“</w:t>
      </w:r>
      <w:r w:rsidR="00A4030B">
        <w:rPr>
          <w:rFonts w:ascii="Times New Roman" w:eastAsiaTheme="minorEastAsia" w:hAnsi="Times New Roman"/>
        </w:rPr>
        <w:t>barred</w:t>
      </w:r>
      <w:r w:rsidR="003C3561">
        <w:rPr>
          <w:rFonts w:ascii="Times New Roman" w:eastAsiaTheme="minorEastAsia" w:hAnsi="Times New Roman"/>
        </w:rPr>
        <w:t>”</w:t>
      </w:r>
      <w:r w:rsidR="00A4030B">
        <w:rPr>
          <w:rFonts w:ascii="Times New Roman" w:eastAsiaTheme="minorEastAsia" w:hAnsi="Times New Roman"/>
        </w:rPr>
        <w:t>, it is up to network whether to trigger such handover and whether to admit the UE in target cell.</w:t>
      </w:r>
      <w:r w:rsidR="00813F2B">
        <w:rPr>
          <w:rFonts w:ascii="Times New Roman" w:eastAsiaTheme="minorEastAsia" w:hAnsi="Times New Roman"/>
        </w:rPr>
        <w:t xml:space="preserve"> </w:t>
      </w:r>
    </w:p>
    <w:p w14:paraId="5D7AEBA4" w14:textId="698E9D37" w:rsidR="008C3697" w:rsidRPr="00B41C93" w:rsidRDefault="008C3697" w:rsidP="008C3697">
      <w:pPr>
        <w:spacing w:before="120"/>
        <w:ind w:left="1132" w:hangingChars="537" w:hanging="1132"/>
        <w:rPr>
          <w:rFonts w:ascii="Times New Roman" w:eastAsiaTheme="minorEastAsia" w:hAnsi="Times New Roman"/>
          <w:b/>
        </w:rPr>
      </w:pPr>
      <w:r>
        <w:rPr>
          <w:rFonts w:ascii="Times New Roman" w:hAnsi="Times New Roman"/>
          <w:b/>
        </w:rPr>
        <w:t>Proposal 1</w:t>
      </w:r>
      <w:r>
        <w:rPr>
          <w:rFonts w:ascii="Times New Roman" w:hAnsi="Times New Roman"/>
          <w:b/>
        </w:rPr>
        <w:tab/>
        <w:t>To confirm the network CAN switch a RedCap UE (with 2-layers DL MIMO capability in at least one FS for a certain band) to the target cell:</w:t>
      </w:r>
    </w:p>
    <w:p w14:paraId="3E7C85A0" w14:textId="77777777" w:rsidR="002D3A10" w:rsidRDefault="002D3A10" w:rsidP="008C3697">
      <w:pPr>
        <w:pStyle w:val="afffffffe"/>
        <w:numPr>
          <w:ilvl w:val="1"/>
          <w:numId w:val="16"/>
        </w:numPr>
        <w:tabs>
          <w:tab w:val="left" w:pos="709"/>
        </w:tabs>
        <w:spacing w:after="0"/>
        <w:ind w:left="1985" w:hanging="1565"/>
        <w:contextualSpacing w:val="0"/>
        <w:rPr>
          <w:rFonts w:ascii="Times New Roman" w:eastAsiaTheme="minorEastAsia" w:hAnsi="Times New Roman"/>
          <w:b/>
        </w:rPr>
      </w:pPr>
      <w:r>
        <w:rPr>
          <w:rFonts w:ascii="Times New Roman" w:eastAsiaTheme="minorEastAsia" w:hAnsi="Times New Roman"/>
          <w:b/>
        </w:rPr>
        <w:t>which cellBarredRedCap2Rx is set to “barred” but cellBarredRedCap1Rx is set to “</w:t>
      </w:r>
      <w:proofErr w:type="spellStart"/>
      <w:r>
        <w:rPr>
          <w:rFonts w:ascii="Times New Roman" w:eastAsiaTheme="minorEastAsia" w:hAnsi="Times New Roman"/>
          <w:b/>
        </w:rPr>
        <w:t>notbarred</w:t>
      </w:r>
      <w:proofErr w:type="spellEnd"/>
      <w:r>
        <w:rPr>
          <w:rFonts w:ascii="Times New Roman" w:eastAsiaTheme="minorEastAsia" w:hAnsi="Times New Roman"/>
          <w:b/>
        </w:rPr>
        <w:t xml:space="preserve">”, or </w:t>
      </w:r>
    </w:p>
    <w:p w14:paraId="474ABBBB" w14:textId="2A4F3784" w:rsidR="004D4456" w:rsidRPr="00E94699" w:rsidRDefault="002D3A10" w:rsidP="00E94699">
      <w:pPr>
        <w:pStyle w:val="afffffffe"/>
        <w:numPr>
          <w:ilvl w:val="1"/>
          <w:numId w:val="16"/>
        </w:numPr>
        <w:tabs>
          <w:tab w:val="left" w:pos="709"/>
        </w:tabs>
        <w:spacing w:after="0"/>
        <w:ind w:left="1985" w:hanging="1565"/>
        <w:contextualSpacing w:val="0"/>
        <w:rPr>
          <w:rFonts w:ascii="Times New Roman" w:eastAsiaTheme="minorEastAsia" w:hAnsi="Times New Roman"/>
          <w:b/>
        </w:rPr>
      </w:pPr>
      <w:r>
        <w:rPr>
          <w:rFonts w:ascii="Times New Roman" w:eastAsiaTheme="minorEastAsia" w:hAnsi="Times New Roman"/>
          <w:b/>
        </w:rPr>
        <w:t>which cellBarredRedCap2Rx is set to “</w:t>
      </w:r>
      <w:proofErr w:type="spellStart"/>
      <w:r>
        <w:rPr>
          <w:rFonts w:ascii="Times New Roman" w:eastAsiaTheme="minorEastAsia" w:hAnsi="Times New Roman"/>
          <w:b/>
        </w:rPr>
        <w:t>notbarred</w:t>
      </w:r>
      <w:proofErr w:type="spellEnd"/>
      <w:r>
        <w:rPr>
          <w:rFonts w:ascii="Times New Roman" w:eastAsiaTheme="minorEastAsia" w:hAnsi="Times New Roman"/>
          <w:b/>
        </w:rPr>
        <w:t>” but cellBarredRedCap1Rx is set to “barred”.</w:t>
      </w: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lastRenderedPageBreak/>
        <w:t>C</w:t>
      </w:r>
      <w:r w:rsidRPr="00AB2679">
        <w:rPr>
          <w:rFonts w:cs="Arial"/>
          <w:b w:val="0"/>
          <w:bCs w:val="0"/>
          <w:kern w:val="0"/>
          <w:sz w:val="32"/>
          <w:szCs w:val="36"/>
        </w:rPr>
        <w:t>onclusion</w:t>
      </w:r>
    </w:p>
    <w:p w14:paraId="7361C869" w14:textId="19EBFE32" w:rsidR="009A2E15" w:rsidRPr="00F05029" w:rsidRDefault="009A2E15" w:rsidP="009A2E15">
      <w:pPr>
        <w:rPr>
          <w:rFonts w:ascii="Times New Roman" w:eastAsiaTheme="minorEastAsia" w:hAnsi="Times New Roman"/>
        </w:rPr>
      </w:pPr>
      <w:r w:rsidRPr="00F05029">
        <w:rPr>
          <w:rFonts w:ascii="Times New Roman" w:eastAsiaTheme="minorEastAsia" w:hAnsi="Times New Roman" w:hint="eastAsia"/>
        </w:rPr>
        <w:t>I</w:t>
      </w:r>
      <w:r w:rsidRPr="00F05029">
        <w:rPr>
          <w:rFonts w:ascii="Times New Roman" w:eastAsiaTheme="minorEastAsia" w:hAnsi="Times New Roman"/>
        </w:rPr>
        <w:t>n this contribution, proposals and observations are:</w:t>
      </w:r>
    </w:p>
    <w:p w14:paraId="53BB4FFC" w14:textId="77777777" w:rsidR="00CE70AE" w:rsidRPr="00A212C6" w:rsidRDefault="00CE70AE" w:rsidP="00CE70AE">
      <w:pPr>
        <w:spacing w:before="120"/>
        <w:ind w:left="1486" w:hangingChars="705" w:hanging="1486"/>
        <w:rPr>
          <w:rFonts w:ascii="Times New Roman" w:eastAsiaTheme="minorEastAsia" w:hAnsi="Times New Roman"/>
          <w:b/>
        </w:rPr>
      </w:pPr>
      <w:r w:rsidRPr="00A212C6">
        <w:rPr>
          <w:rFonts w:ascii="Times New Roman" w:hAnsi="Times New Roman"/>
          <w:b/>
        </w:rPr>
        <w:t>Observation 1</w:t>
      </w:r>
      <w:r>
        <w:rPr>
          <w:rFonts w:ascii="Times New Roman" w:hAnsi="Times New Roman"/>
          <w:b/>
        </w:rPr>
        <w:tab/>
        <w:t>The key issue is whether UE has problem when it is equipped with 2Rx but connects to a cell which cellBarredRedCap2Rx is set to “barred”</w:t>
      </w:r>
      <w:r w:rsidRPr="00A212C6">
        <w:rPr>
          <w:rFonts w:ascii="Times New Roman" w:hAnsi="Times New Roman"/>
          <w:b/>
        </w:rPr>
        <w:t>.</w:t>
      </w:r>
    </w:p>
    <w:p w14:paraId="427FF809" w14:textId="77777777" w:rsidR="00CE70AE" w:rsidRPr="00E94699" w:rsidRDefault="00CE70AE" w:rsidP="00CE70AE">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Pr>
          <w:rFonts w:ascii="Times New Roman" w:hAnsi="Times New Roman"/>
          <w:b/>
        </w:rPr>
        <w:t>2</w:t>
      </w:r>
      <w:r>
        <w:rPr>
          <w:rFonts w:ascii="Times New Roman" w:hAnsi="Times New Roman"/>
          <w:b/>
        </w:rPr>
        <w:tab/>
        <w:t>From network perspective, the cell barring indications in MIB/SIB are used to control the access of RRC_IDLE/RRC_INACTIVE UEs, the network may have different access bars for RRC_CONNECTED UEs</w:t>
      </w:r>
      <w:r w:rsidRPr="00A212C6">
        <w:rPr>
          <w:rFonts w:ascii="Times New Roman" w:hAnsi="Times New Roman"/>
          <w:b/>
        </w:rPr>
        <w:t>.</w:t>
      </w:r>
    </w:p>
    <w:p w14:paraId="15A161BB" w14:textId="77777777" w:rsidR="00CE70AE" w:rsidRPr="00B41C93" w:rsidRDefault="00CE70AE" w:rsidP="00CE70AE">
      <w:pPr>
        <w:spacing w:before="120"/>
        <w:ind w:left="1132" w:hangingChars="537" w:hanging="1132"/>
        <w:rPr>
          <w:rFonts w:ascii="Times New Roman" w:eastAsiaTheme="minorEastAsia" w:hAnsi="Times New Roman"/>
          <w:b/>
        </w:rPr>
      </w:pPr>
      <w:r>
        <w:rPr>
          <w:rFonts w:ascii="Times New Roman" w:hAnsi="Times New Roman"/>
          <w:b/>
        </w:rPr>
        <w:t>Proposal 1</w:t>
      </w:r>
      <w:r>
        <w:rPr>
          <w:rFonts w:ascii="Times New Roman" w:hAnsi="Times New Roman"/>
          <w:b/>
        </w:rPr>
        <w:tab/>
        <w:t>To confirm the network CAN switch a RedCap UE (with 2-layers DL MIMO capability in at least one FS for a certain band) to the target cell:</w:t>
      </w:r>
    </w:p>
    <w:p w14:paraId="6B2F00F9" w14:textId="77777777" w:rsidR="00CE70AE" w:rsidRDefault="00CE70AE" w:rsidP="00CE70AE">
      <w:pPr>
        <w:pStyle w:val="afffffffe"/>
        <w:numPr>
          <w:ilvl w:val="1"/>
          <w:numId w:val="16"/>
        </w:numPr>
        <w:tabs>
          <w:tab w:val="left" w:pos="709"/>
        </w:tabs>
        <w:spacing w:after="0"/>
        <w:ind w:left="1985" w:hanging="1565"/>
        <w:contextualSpacing w:val="0"/>
        <w:rPr>
          <w:rFonts w:ascii="Times New Roman" w:eastAsiaTheme="minorEastAsia" w:hAnsi="Times New Roman"/>
          <w:b/>
        </w:rPr>
      </w:pPr>
      <w:r>
        <w:rPr>
          <w:rFonts w:ascii="Times New Roman" w:eastAsiaTheme="minorEastAsia" w:hAnsi="Times New Roman"/>
          <w:b/>
        </w:rPr>
        <w:t>which cellBarredRedCap2Rx is set to “barred” but cellBarredRedCap1Rx is set to “</w:t>
      </w:r>
      <w:proofErr w:type="spellStart"/>
      <w:r>
        <w:rPr>
          <w:rFonts w:ascii="Times New Roman" w:eastAsiaTheme="minorEastAsia" w:hAnsi="Times New Roman"/>
          <w:b/>
        </w:rPr>
        <w:t>notbarred</w:t>
      </w:r>
      <w:proofErr w:type="spellEnd"/>
      <w:r>
        <w:rPr>
          <w:rFonts w:ascii="Times New Roman" w:eastAsiaTheme="minorEastAsia" w:hAnsi="Times New Roman"/>
          <w:b/>
        </w:rPr>
        <w:t xml:space="preserve">”, or </w:t>
      </w:r>
    </w:p>
    <w:p w14:paraId="7B21D5C0" w14:textId="36A695D8" w:rsidR="00CE70AE" w:rsidRPr="00CE70AE" w:rsidRDefault="00CE70AE" w:rsidP="00CE70AE">
      <w:pPr>
        <w:pStyle w:val="afffffffe"/>
        <w:numPr>
          <w:ilvl w:val="1"/>
          <w:numId w:val="16"/>
        </w:numPr>
        <w:tabs>
          <w:tab w:val="left" w:pos="709"/>
        </w:tabs>
        <w:spacing w:after="0"/>
        <w:ind w:left="1985" w:hanging="1565"/>
        <w:contextualSpacing w:val="0"/>
        <w:rPr>
          <w:rFonts w:ascii="Times New Roman" w:eastAsiaTheme="minorEastAsia" w:hAnsi="Times New Roman"/>
          <w:b/>
        </w:rPr>
      </w:pPr>
      <w:r>
        <w:rPr>
          <w:rFonts w:ascii="Times New Roman" w:eastAsiaTheme="minorEastAsia" w:hAnsi="Times New Roman"/>
          <w:b/>
        </w:rPr>
        <w:t>which cellBarredRedCap2Rx is set to “</w:t>
      </w:r>
      <w:proofErr w:type="spellStart"/>
      <w:r>
        <w:rPr>
          <w:rFonts w:ascii="Times New Roman" w:eastAsiaTheme="minorEastAsia" w:hAnsi="Times New Roman"/>
          <w:b/>
        </w:rPr>
        <w:t>notbarred</w:t>
      </w:r>
      <w:proofErr w:type="spellEnd"/>
      <w:r>
        <w:rPr>
          <w:rFonts w:ascii="Times New Roman" w:eastAsiaTheme="minorEastAsia" w:hAnsi="Times New Roman"/>
          <w:b/>
        </w:rPr>
        <w:t>” but cellBarredRedCap1Rx is set to “barred”.</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66477E4E" w14:textId="15C4104C" w:rsidR="007E64FE" w:rsidRDefault="0052301E" w:rsidP="0052301E">
      <w:pPr>
        <w:rPr>
          <w:rFonts w:ascii="Times New Roman" w:hAnsi="Times New Roman"/>
        </w:rPr>
      </w:pPr>
      <w:r w:rsidRPr="0052301E">
        <w:rPr>
          <w:rFonts w:ascii="Times New Roman" w:hAnsi="Times New Roman"/>
        </w:rPr>
        <w:t xml:space="preserve">[1] </w:t>
      </w:r>
      <w:r w:rsidR="00934D46" w:rsidRPr="00934D46">
        <w:rPr>
          <w:rFonts w:ascii="Times New Roman" w:hAnsi="Times New Roman"/>
        </w:rPr>
        <w:t>R2-2303286</w:t>
      </w:r>
      <w:r w:rsidR="00934D46" w:rsidRPr="00934D46">
        <w:rPr>
          <w:rFonts w:ascii="Times New Roman" w:hAnsi="Times New Roman"/>
        </w:rPr>
        <w:tab/>
        <w:t>Clarification on cell barring indications for RedCap UEs</w:t>
      </w:r>
      <w:r w:rsidR="00934D46" w:rsidRPr="00934D46">
        <w:rPr>
          <w:rFonts w:ascii="Times New Roman" w:hAnsi="Times New Roman"/>
        </w:rPr>
        <w:tab/>
        <w:t xml:space="preserve">ZTE Corporation, </w:t>
      </w:r>
      <w:proofErr w:type="spellStart"/>
      <w:r w:rsidR="00934D46" w:rsidRPr="00934D46">
        <w:rPr>
          <w:rFonts w:ascii="Times New Roman" w:hAnsi="Times New Roman"/>
        </w:rPr>
        <w:t>Sanechips</w:t>
      </w:r>
      <w:proofErr w:type="spellEnd"/>
      <w:r w:rsidR="00934D46" w:rsidRPr="00934D46">
        <w:rPr>
          <w:rFonts w:ascii="Times New Roman" w:hAnsi="Times New Roman"/>
        </w:rPr>
        <w:tab/>
        <w:t>discussion</w:t>
      </w:r>
      <w:r w:rsidR="00934D46" w:rsidRPr="00934D46">
        <w:rPr>
          <w:rFonts w:ascii="Times New Roman" w:hAnsi="Times New Roman"/>
        </w:rPr>
        <w:tab/>
        <w:t>Rel-17</w:t>
      </w:r>
      <w:r w:rsidR="00934D46" w:rsidRPr="00934D46">
        <w:rPr>
          <w:rFonts w:ascii="Times New Roman" w:hAnsi="Times New Roman"/>
        </w:rPr>
        <w:tab/>
      </w:r>
      <w:proofErr w:type="spellStart"/>
      <w:r w:rsidR="00934D46" w:rsidRPr="00934D46">
        <w:rPr>
          <w:rFonts w:ascii="Times New Roman" w:hAnsi="Times New Roman"/>
        </w:rPr>
        <w:t>NR_redcap</w:t>
      </w:r>
      <w:proofErr w:type="spellEnd"/>
      <w:r w:rsidR="00934D46" w:rsidRPr="00934D46">
        <w:rPr>
          <w:rFonts w:ascii="Times New Roman" w:hAnsi="Times New Roman"/>
        </w:rPr>
        <w:t>-Core</w:t>
      </w:r>
    </w:p>
    <w:p w14:paraId="1DB1F852" w14:textId="66F6BEDE" w:rsidR="00224718" w:rsidRPr="00224718" w:rsidRDefault="00224718" w:rsidP="0052301E">
      <w:pPr>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 xml:space="preserve">2] </w:t>
      </w:r>
      <w:r w:rsidRPr="00224718">
        <w:rPr>
          <w:rFonts w:ascii="Times New Roman" w:eastAsiaTheme="minorEastAsia" w:hAnsi="Times New Roman"/>
        </w:rPr>
        <w:t xml:space="preserve">R2-2304560   Summary of [AT121bis-e][005][NR17] CP Redcap Corrections (Huawei)  Huawei, </w:t>
      </w:r>
      <w:proofErr w:type="spellStart"/>
      <w:r w:rsidRPr="00224718">
        <w:rPr>
          <w:rFonts w:ascii="Times New Roman" w:eastAsiaTheme="minorEastAsia" w:hAnsi="Times New Roman"/>
        </w:rPr>
        <w:t>HiSilicon</w:t>
      </w:r>
      <w:proofErr w:type="spellEnd"/>
    </w:p>
    <w:p w14:paraId="60ECDD18" w14:textId="407188DC" w:rsidR="00A85547" w:rsidRPr="00A85547" w:rsidRDefault="00A85547" w:rsidP="00A85547"/>
    <w:sectPr w:rsidR="00A85547" w:rsidRPr="00A85547" w:rsidSect="0052301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8D56D" w14:textId="77777777" w:rsidR="00581B31" w:rsidRDefault="00581B31">
      <w:pPr>
        <w:spacing w:after="0"/>
      </w:pPr>
      <w:r>
        <w:separator/>
      </w:r>
    </w:p>
  </w:endnote>
  <w:endnote w:type="continuationSeparator" w:id="0">
    <w:p w14:paraId="69D23513" w14:textId="77777777" w:rsidR="00581B31" w:rsidRDefault="00581B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Batang"/>
    <w:panose1 w:val="02030600000101010101"/>
    <w:charset w:val="81"/>
    <w:family w:val="roman"/>
    <w:pitch w:val="default"/>
    <w:sig w:usb0="00000000" w:usb1="00000000"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Segoe UI">
    <w:panose1 w:val="020B0502040204020203"/>
    <w:charset w:val="00"/>
    <w:family w:val="swiss"/>
    <w:pitch w:val="default"/>
    <w:sig w:usb0="E4002EFF" w:usb1="C000E47F" w:usb2="00000009" w:usb3="00000000" w:csb0="2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9EE52" w14:textId="77777777" w:rsidR="003331D0" w:rsidRDefault="003331D0">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44F5E" w14:textId="77777777" w:rsidR="003331D0" w:rsidRDefault="003331D0">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42A02" w14:textId="77777777" w:rsidR="003331D0" w:rsidRDefault="003331D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B01C5" w14:textId="77777777" w:rsidR="00581B31" w:rsidRDefault="00581B31">
      <w:pPr>
        <w:spacing w:after="0"/>
      </w:pPr>
      <w:r>
        <w:separator/>
      </w:r>
    </w:p>
  </w:footnote>
  <w:footnote w:type="continuationSeparator" w:id="0">
    <w:p w14:paraId="66B89784" w14:textId="77777777" w:rsidR="00581B31" w:rsidRDefault="00581B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A5BC7" w14:textId="77777777" w:rsidR="003331D0" w:rsidRDefault="003331D0">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984FF" w14:textId="77777777" w:rsidR="003331D0" w:rsidRDefault="003331D0">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EC53C" w14:textId="77777777" w:rsidR="003331D0" w:rsidRDefault="003331D0">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F5978F8"/>
    <w:multiLevelType w:val="hybridMultilevel"/>
    <w:tmpl w:val="2CB22ED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F5F"/>
    <w:multiLevelType w:val="hybridMultilevel"/>
    <w:tmpl w:val="DE367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A60B0"/>
    <w:multiLevelType w:val="hybridMultilevel"/>
    <w:tmpl w:val="FA484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89F0A8B"/>
    <w:multiLevelType w:val="hybridMultilevel"/>
    <w:tmpl w:val="671E522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427991"/>
    <w:multiLevelType w:val="hybridMultilevel"/>
    <w:tmpl w:val="DF6267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0"/>
  </w:num>
  <w:num w:numId="3">
    <w:abstractNumId w:val="14"/>
  </w:num>
  <w:num w:numId="4">
    <w:abstractNumId w:val="8"/>
  </w:num>
  <w:num w:numId="5">
    <w:abstractNumId w:val="2"/>
  </w:num>
  <w:num w:numId="6">
    <w:abstractNumId w:val="0"/>
  </w:num>
  <w:num w:numId="7">
    <w:abstractNumId w:val="6"/>
  </w:num>
  <w:num w:numId="8">
    <w:abstractNumId w:val="4"/>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1"/>
  </w:num>
  <w:num w:numId="13">
    <w:abstractNumId w:val="7"/>
  </w:num>
  <w:num w:numId="14">
    <w:abstractNumId w:val="12"/>
  </w:num>
  <w:num w:numId="15">
    <w:abstractNumId w:val="5"/>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6A7"/>
    <w:rsid w:val="000149D7"/>
    <w:rsid w:val="00015844"/>
    <w:rsid w:val="00015C59"/>
    <w:rsid w:val="00015C78"/>
    <w:rsid w:val="00017BA5"/>
    <w:rsid w:val="0002091C"/>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506E"/>
    <w:rsid w:val="0004551F"/>
    <w:rsid w:val="00046160"/>
    <w:rsid w:val="00047CF7"/>
    <w:rsid w:val="0005129F"/>
    <w:rsid w:val="00051971"/>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1181"/>
    <w:rsid w:val="00081191"/>
    <w:rsid w:val="0008122E"/>
    <w:rsid w:val="0008157B"/>
    <w:rsid w:val="00081836"/>
    <w:rsid w:val="00081B64"/>
    <w:rsid w:val="00082CAA"/>
    <w:rsid w:val="000831BF"/>
    <w:rsid w:val="00084128"/>
    <w:rsid w:val="00084609"/>
    <w:rsid w:val="000875C4"/>
    <w:rsid w:val="00087EC3"/>
    <w:rsid w:val="0009084A"/>
    <w:rsid w:val="000915A4"/>
    <w:rsid w:val="00092125"/>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925"/>
    <w:rsid w:val="000F6F5E"/>
    <w:rsid w:val="00100030"/>
    <w:rsid w:val="001014E9"/>
    <w:rsid w:val="0010484A"/>
    <w:rsid w:val="00104C1F"/>
    <w:rsid w:val="00106BB7"/>
    <w:rsid w:val="001101FB"/>
    <w:rsid w:val="00111C96"/>
    <w:rsid w:val="00111CE0"/>
    <w:rsid w:val="00111D40"/>
    <w:rsid w:val="00111DF0"/>
    <w:rsid w:val="0011334E"/>
    <w:rsid w:val="001135C5"/>
    <w:rsid w:val="00114204"/>
    <w:rsid w:val="00114268"/>
    <w:rsid w:val="001147C0"/>
    <w:rsid w:val="00114AAE"/>
    <w:rsid w:val="001158F3"/>
    <w:rsid w:val="0011744D"/>
    <w:rsid w:val="0012086A"/>
    <w:rsid w:val="00124A2C"/>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2E14"/>
    <w:rsid w:val="0018310D"/>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D7E1F"/>
    <w:rsid w:val="001E0341"/>
    <w:rsid w:val="001E0995"/>
    <w:rsid w:val="001E1C36"/>
    <w:rsid w:val="001E1E3C"/>
    <w:rsid w:val="001E2645"/>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6876"/>
    <w:rsid w:val="001F7E3A"/>
    <w:rsid w:val="00201FFE"/>
    <w:rsid w:val="00202C4B"/>
    <w:rsid w:val="00204080"/>
    <w:rsid w:val="002053AC"/>
    <w:rsid w:val="00206380"/>
    <w:rsid w:val="00207FF6"/>
    <w:rsid w:val="00210004"/>
    <w:rsid w:val="002116B0"/>
    <w:rsid w:val="0021293D"/>
    <w:rsid w:val="002132A0"/>
    <w:rsid w:val="0021477B"/>
    <w:rsid w:val="002155FA"/>
    <w:rsid w:val="00216A12"/>
    <w:rsid w:val="00217059"/>
    <w:rsid w:val="002176DE"/>
    <w:rsid w:val="002209D7"/>
    <w:rsid w:val="00222656"/>
    <w:rsid w:val="0022388D"/>
    <w:rsid w:val="00223B64"/>
    <w:rsid w:val="002240E4"/>
    <w:rsid w:val="00224718"/>
    <w:rsid w:val="00224B70"/>
    <w:rsid w:val="00224DB4"/>
    <w:rsid w:val="0022582C"/>
    <w:rsid w:val="002273C3"/>
    <w:rsid w:val="002275B9"/>
    <w:rsid w:val="0023029F"/>
    <w:rsid w:val="00231281"/>
    <w:rsid w:val="00231DC2"/>
    <w:rsid w:val="002322F1"/>
    <w:rsid w:val="00232396"/>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BC1"/>
    <w:rsid w:val="0027635A"/>
    <w:rsid w:val="00276498"/>
    <w:rsid w:val="002803B6"/>
    <w:rsid w:val="00280857"/>
    <w:rsid w:val="002814D6"/>
    <w:rsid w:val="00281718"/>
    <w:rsid w:val="00281A52"/>
    <w:rsid w:val="00281B15"/>
    <w:rsid w:val="0028219B"/>
    <w:rsid w:val="00283F01"/>
    <w:rsid w:val="002844B2"/>
    <w:rsid w:val="002855D0"/>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3A10"/>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17C82"/>
    <w:rsid w:val="00321077"/>
    <w:rsid w:val="00321D07"/>
    <w:rsid w:val="00322765"/>
    <w:rsid w:val="00322EDB"/>
    <w:rsid w:val="003268BB"/>
    <w:rsid w:val="00330072"/>
    <w:rsid w:val="00330B4E"/>
    <w:rsid w:val="0033176D"/>
    <w:rsid w:val="00331858"/>
    <w:rsid w:val="00332CEC"/>
    <w:rsid w:val="00332F87"/>
    <w:rsid w:val="003331D0"/>
    <w:rsid w:val="0033380C"/>
    <w:rsid w:val="00333D6C"/>
    <w:rsid w:val="0033426F"/>
    <w:rsid w:val="00335536"/>
    <w:rsid w:val="00335B60"/>
    <w:rsid w:val="00335C89"/>
    <w:rsid w:val="00335E3D"/>
    <w:rsid w:val="00336046"/>
    <w:rsid w:val="00336439"/>
    <w:rsid w:val="003402E6"/>
    <w:rsid w:val="00340391"/>
    <w:rsid w:val="00340AAF"/>
    <w:rsid w:val="00341154"/>
    <w:rsid w:val="0034240D"/>
    <w:rsid w:val="003436BE"/>
    <w:rsid w:val="00345FC0"/>
    <w:rsid w:val="003469FC"/>
    <w:rsid w:val="00346E8E"/>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F14"/>
    <w:rsid w:val="0039008E"/>
    <w:rsid w:val="0039090C"/>
    <w:rsid w:val="00391402"/>
    <w:rsid w:val="003918F4"/>
    <w:rsid w:val="00391F87"/>
    <w:rsid w:val="00393338"/>
    <w:rsid w:val="00394FC5"/>
    <w:rsid w:val="00396336"/>
    <w:rsid w:val="00396952"/>
    <w:rsid w:val="003A0737"/>
    <w:rsid w:val="003A150D"/>
    <w:rsid w:val="003A16A8"/>
    <w:rsid w:val="003A1A83"/>
    <w:rsid w:val="003A1B24"/>
    <w:rsid w:val="003A2A06"/>
    <w:rsid w:val="003A2F2E"/>
    <w:rsid w:val="003A3ACC"/>
    <w:rsid w:val="003A4AAC"/>
    <w:rsid w:val="003A4C78"/>
    <w:rsid w:val="003A5514"/>
    <w:rsid w:val="003A552B"/>
    <w:rsid w:val="003A5554"/>
    <w:rsid w:val="003A6024"/>
    <w:rsid w:val="003A6CD0"/>
    <w:rsid w:val="003B1164"/>
    <w:rsid w:val="003B132E"/>
    <w:rsid w:val="003B139B"/>
    <w:rsid w:val="003B1738"/>
    <w:rsid w:val="003B3A50"/>
    <w:rsid w:val="003B3DBA"/>
    <w:rsid w:val="003B409D"/>
    <w:rsid w:val="003B448B"/>
    <w:rsid w:val="003B45C7"/>
    <w:rsid w:val="003B56A0"/>
    <w:rsid w:val="003B6027"/>
    <w:rsid w:val="003C046C"/>
    <w:rsid w:val="003C113F"/>
    <w:rsid w:val="003C1C50"/>
    <w:rsid w:val="003C258A"/>
    <w:rsid w:val="003C3561"/>
    <w:rsid w:val="003C3E62"/>
    <w:rsid w:val="003C4558"/>
    <w:rsid w:val="003D01E0"/>
    <w:rsid w:val="003D03EC"/>
    <w:rsid w:val="003D0960"/>
    <w:rsid w:val="003D0EF8"/>
    <w:rsid w:val="003D1455"/>
    <w:rsid w:val="003D2840"/>
    <w:rsid w:val="003D2B72"/>
    <w:rsid w:val="003D3033"/>
    <w:rsid w:val="003D32A9"/>
    <w:rsid w:val="003D34F0"/>
    <w:rsid w:val="003D42C7"/>
    <w:rsid w:val="003D4964"/>
    <w:rsid w:val="003D6201"/>
    <w:rsid w:val="003D7765"/>
    <w:rsid w:val="003E1518"/>
    <w:rsid w:val="003E235E"/>
    <w:rsid w:val="003E250F"/>
    <w:rsid w:val="003E3E67"/>
    <w:rsid w:val="003E42F6"/>
    <w:rsid w:val="003E431F"/>
    <w:rsid w:val="003E48E7"/>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790"/>
    <w:rsid w:val="003F448B"/>
    <w:rsid w:val="003F58F6"/>
    <w:rsid w:val="003F5DC1"/>
    <w:rsid w:val="003F602F"/>
    <w:rsid w:val="003F6316"/>
    <w:rsid w:val="0040061F"/>
    <w:rsid w:val="00401149"/>
    <w:rsid w:val="00402720"/>
    <w:rsid w:val="00402985"/>
    <w:rsid w:val="00403BAA"/>
    <w:rsid w:val="00403CA6"/>
    <w:rsid w:val="00406593"/>
    <w:rsid w:val="004069B2"/>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6A5E"/>
    <w:rsid w:val="004274EC"/>
    <w:rsid w:val="00427917"/>
    <w:rsid w:val="00427F2D"/>
    <w:rsid w:val="0043178A"/>
    <w:rsid w:val="0043216B"/>
    <w:rsid w:val="004330FC"/>
    <w:rsid w:val="00436238"/>
    <w:rsid w:val="004371F7"/>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A0053"/>
    <w:rsid w:val="004A0BD2"/>
    <w:rsid w:val="004A1031"/>
    <w:rsid w:val="004A2687"/>
    <w:rsid w:val="004A402F"/>
    <w:rsid w:val="004A5972"/>
    <w:rsid w:val="004A613D"/>
    <w:rsid w:val="004A6761"/>
    <w:rsid w:val="004B0058"/>
    <w:rsid w:val="004B2B05"/>
    <w:rsid w:val="004B2BBA"/>
    <w:rsid w:val="004B3425"/>
    <w:rsid w:val="004B6B21"/>
    <w:rsid w:val="004B70AD"/>
    <w:rsid w:val="004B71F4"/>
    <w:rsid w:val="004B7413"/>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0F29"/>
    <w:rsid w:val="004D1073"/>
    <w:rsid w:val="004D1ABD"/>
    <w:rsid w:val="004D1EE6"/>
    <w:rsid w:val="004D238B"/>
    <w:rsid w:val="004D2611"/>
    <w:rsid w:val="004D38DC"/>
    <w:rsid w:val="004D39A3"/>
    <w:rsid w:val="004D3FA5"/>
    <w:rsid w:val="004D4456"/>
    <w:rsid w:val="004D4EFB"/>
    <w:rsid w:val="004D640B"/>
    <w:rsid w:val="004D6EDD"/>
    <w:rsid w:val="004D7034"/>
    <w:rsid w:val="004D7FAA"/>
    <w:rsid w:val="004D7FAE"/>
    <w:rsid w:val="004E06BE"/>
    <w:rsid w:val="004E1F4F"/>
    <w:rsid w:val="004E37E6"/>
    <w:rsid w:val="004E3A45"/>
    <w:rsid w:val="004E3B7D"/>
    <w:rsid w:val="004E3E3E"/>
    <w:rsid w:val="004E4673"/>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756E"/>
    <w:rsid w:val="0052780F"/>
    <w:rsid w:val="005312B1"/>
    <w:rsid w:val="005315FE"/>
    <w:rsid w:val="00532CB1"/>
    <w:rsid w:val="005334C4"/>
    <w:rsid w:val="005344B3"/>
    <w:rsid w:val="00534869"/>
    <w:rsid w:val="00534D4B"/>
    <w:rsid w:val="00534F70"/>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9FE"/>
    <w:rsid w:val="00575D00"/>
    <w:rsid w:val="005763B9"/>
    <w:rsid w:val="00580518"/>
    <w:rsid w:val="00581B31"/>
    <w:rsid w:val="00583964"/>
    <w:rsid w:val="00585DF6"/>
    <w:rsid w:val="00585E04"/>
    <w:rsid w:val="005910DD"/>
    <w:rsid w:val="005920BC"/>
    <w:rsid w:val="00592B66"/>
    <w:rsid w:val="005933CF"/>
    <w:rsid w:val="005940C1"/>
    <w:rsid w:val="0059566C"/>
    <w:rsid w:val="00595711"/>
    <w:rsid w:val="0059585E"/>
    <w:rsid w:val="00596D57"/>
    <w:rsid w:val="0059786E"/>
    <w:rsid w:val="005A3156"/>
    <w:rsid w:val="005A4C06"/>
    <w:rsid w:val="005A53DF"/>
    <w:rsid w:val="005A6185"/>
    <w:rsid w:val="005A6C09"/>
    <w:rsid w:val="005B052E"/>
    <w:rsid w:val="005B0AC0"/>
    <w:rsid w:val="005B0B2E"/>
    <w:rsid w:val="005B11C0"/>
    <w:rsid w:val="005B127E"/>
    <w:rsid w:val="005B220B"/>
    <w:rsid w:val="005B2E19"/>
    <w:rsid w:val="005B39B3"/>
    <w:rsid w:val="005B457C"/>
    <w:rsid w:val="005B4ACD"/>
    <w:rsid w:val="005B5956"/>
    <w:rsid w:val="005B5AAA"/>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0B97"/>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7118"/>
    <w:rsid w:val="0060722F"/>
    <w:rsid w:val="00607A61"/>
    <w:rsid w:val="0061106F"/>
    <w:rsid w:val="00612552"/>
    <w:rsid w:val="006127D4"/>
    <w:rsid w:val="00614547"/>
    <w:rsid w:val="00614D4B"/>
    <w:rsid w:val="006169DE"/>
    <w:rsid w:val="00616DFB"/>
    <w:rsid w:val="00617630"/>
    <w:rsid w:val="00617B27"/>
    <w:rsid w:val="00620346"/>
    <w:rsid w:val="0062074A"/>
    <w:rsid w:val="00622516"/>
    <w:rsid w:val="00622C68"/>
    <w:rsid w:val="0062301D"/>
    <w:rsid w:val="00623125"/>
    <w:rsid w:val="0062321A"/>
    <w:rsid w:val="006241EE"/>
    <w:rsid w:val="00625C8F"/>
    <w:rsid w:val="00627ACD"/>
    <w:rsid w:val="00630383"/>
    <w:rsid w:val="00630B29"/>
    <w:rsid w:val="006316B3"/>
    <w:rsid w:val="00631D33"/>
    <w:rsid w:val="00633DA7"/>
    <w:rsid w:val="00634F89"/>
    <w:rsid w:val="006357BD"/>
    <w:rsid w:val="006358DF"/>
    <w:rsid w:val="00636AD9"/>
    <w:rsid w:val="006375FB"/>
    <w:rsid w:val="00640801"/>
    <w:rsid w:val="006408DC"/>
    <w:rsid w:val="006413AD"/>
    <w:rsid w:val="006422C6"/>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07C"/>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24A9"/>
    <w:rsid w:val="006A451F"/>
    <w:rsid w:val="006A45EC"/>
    <w:rsid w:val="006A67C2"/>
    <w:rsid w:val="006A6A31"/>
    <w:rsid w:val="006A6BFD"/>
    <w:rsid w:val="006B0BCD"/>
    <w:rsid w:val="006B0CBE"/>
    <w:rsid w:val="006B0D95"/>
    <w:rsid w:val="006B1969"/>
    <w:rsid w:val="006B2DC5"/>
    <w:rsid w:val="006B2F1E"/>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5162"/>
    <w:rsid w:val="006E7570"/>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3731"/>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268E"/>
    <w:rsid w:val="00753848"/>
    <w:rsid w:val="00756170"/>
    <w:rsid w:val="007566B3"/>
    <w:rsid w:val="007573D2"/>
    <w:rsid w:val="00757741"/>
    <w:rsid w:val="007577AC"/>
    <w:rsid w:val="00760036"/>
    <w:rsid w:val="00760706"/>
    <w:rsid w:val="00760C49"/>
    <w:rsid w:val="007621D5"/>
    <w:rsid w:val="007626A2"/>
    <w:rsid w:val="007627C7"/>
    <w:rsid w:val="00764069"/>
    <w:rsid w:val="007651F0"/>
    <w:rsid w:val="00765D32"/>
    <w:rsid w:val="00765F5E"/>
    <w:rsid w:val="007664D6"/>
    <w:rsid w:val="00766F9C"/>
    <w:rsid w:val="007705A1"/>
    <w:rsid w:val="00770F43"/>
    <w:rsid w:val="00771468"/>
    <w:rsid w:val="007719AC"/>
    <w:rsid w:val="0077202D"/>
    <w:rsid w:val="00772393"/>
    <w:rsid w:val="00773686"/>
    <w:rsid w:val="00774A5F"/>
    <w:rsid w:val="00776AD0"/>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B76CF"/>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4FE"/>
    <w:rsid w:val="007E6C5D"/>
    <w:rsid w:val="007E6E32"/>
    <w:rsid w:val="007E7487"/>
    <w:rsid w:val="007E74B3"/>
    <w:rsid w:val="007E771D"/>
    <w:rsid w:val="007F1857"/>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56CF"/>
    <w:rsid w:val="00806C7C"/>
    <w:rsid w:val="0080728E"/>
    <w:rsid w:val="00811498"/>
    <w:rsid w:val="00811CC1"/>
    <w:rsid w:val="00812EF1"/>
    <w:rsid w:val="00813F2B"/>
    <w:rsid w:val="00814945"/>
    <w:rsid w:val="00814985"/>
    <w:rsid w:val="008155A0"/>
    <w:rsid w:val="008160BF"/>
    <w:rsid w:val="008168D2"/>
    <w:rsid w:val="00816EC3"/>
    <w:rsid w:val="00816F96"/>
    <w:rsid w:val="008175D4"/>
    <w:rsid w:val="008205B0"/>
    <w:rsid w:val="008212B8"/>
    <w:rsid w:val="008224B3"/>
    <w:rsid w:val="00822C19"/>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6D8B"/>
    <w:rsid w:val="00897C1C"/>
    <w:rsid w:val="008A1E93"/>
    <w:rsid w:val="008A2A33"/>
    <w:rsid w:val="008A2DC4"/>
    <w:rsid w:val="008A4BCD"/>
    <w:rsid w:val="008A4FE1"/>
    <w:rsid w:val="008A5E28"/>
    <w:rsid w:val="008A64DE"/>
    <w:rsid w:val="008A6AF8"/>
    <w:rsid w:val="008A7501"/>
    <w:rsid w:val="008B319D"/>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697"/>
    <w:rsid w:val="008C3C8F"/>
    <w:rsid w:val="008C3F98"/>
    <w:rsid w:val="008C42AF"/>
    <w:rsid w:val="008C5565"/>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133C"/>
    <w:rsid w:val="008E1801"/>
    <w:rsid w:val="008E2C30"/>
    <w:rsid w:val="008E4B64"/>
    <w:rsid w:val="008E5313"/>
    <w:rsid w:val="008E5B71"/>
    <w:rsid w:val="008E646E"/>
    <w:rsid w:val="008E705E"/>
    <w:rsid w:val="008F031C"/>
    <w:rsid w:val="008F0704"/>
    <w:rsid w:val="008F0C94"/>
    <w:rsid w:val="008F1843"/>
    <w:rsid w:val="008F2453"/>
    <w:rsid w:val="008F252E"/>
    <w:rsid w:val="008F34E9"/>
    <w:rsid w:val="008F53F5"/>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0D27"/>
    <w:rsid w:val="00931BE7"/>
    <w:rsid w:val="0093324D"/>
    <w:rsid w:val="00933638"/>
    <w:rsid w:val="00934D46"/>
    <w:rsid w:val="00940063"/>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3BF"/>
    <w:rsid w:val="009578D1"/>
    <w:rsid w:val="00957A33"/>
    <w:rsid w:val="00957B43"/>
    <w:rsid w:val="0096003B"/>
    <w:rsid w:val="0096081E"/>
    <w:rsid w:val="0096137E"/>
    <w:rsid w:val="009615E8"/>
    <w:rsid w:val="00961E92"/>
    <w:rsid w:val="009620CB"/>
    <w:rsid w:val="00962455"/>
    <w:rsid w:val="009644D2"/>
    <w:rsid w:val="009647C5"/>
    <w:rsid w:val="00964C5B"/>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E6D"/>
    <w:rsid w:val="009800B6"/>
    <w:rsid w:val="00981AAB"/>
    <w:rsid w:val="00983841"/>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0D7"/>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769"/>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3D3F"/>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D0E"/>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354E4"/>
    <w:rsid w:val="00A360F6"/>
    <w:rsid w:val="00A4030B"/>
    <w:rsid w:val="00A421DA"/>
    <w:rsid w:val="00A42773"/>
    <w:rsid w:val="00A439CB"/>
    <w:rsid w:val="00A4443C"/>
    <w:rsid w:val="00A4449B"/>
    <w:rsid w:val="00A44BE1"/>
    <w:rsid w:val="00A44D99"/>
    <w:rsid w:val="00A4500D"/>
    <w:rsid w:val="00A473D6"/>
    <w:rsid w:val="00A51A9E"/>
    <w:rsid w:val="00A51EEE"/>
    <w:rsid w:val="00A52649"/>
    <w:rsid w:val="00A53C99"/>
    <w:rsid w:val="00A542B8"/>
    <w:rsid w:val="00A54719"/>
    <w:rsid w:val="00A54E83"/>
    <w:rsid w:val="00A55561"/>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267E"/>
    <w:rsid w:val="00A727DA"/>
    <w:rsid w:val="00A7488B"/>
    <w:rsid w:val="00A7493E"/>
    <w:rsid w:val="00A74F48"/>
    <w:rsid w:val="00A75856"/>
    <w:rsid w:val="00A81A3A"/>
    <w:rsid w:val="00A82E50"/>
    <w:rsid w:val="00A83C75"/>
    <w:rsid w:val="00A83E6C"/>
    <w:rsid w:val="00A84147"/>
    <w:rsid w:val="00A84984"/>
    <w:rsid w:val="00A84D8D"/>
    <w:rsid w:val="00A854F8"/>
    <w:rsid w:val="00A85547"/>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892"/>
    <w:rsid w:val="00AA6C76"/>
    <w:rsid w:val="00AA7921"/>
    <w:rsid w:val="00AA7F02"/>
    <w:rsid w:val="00AB049C"/>
    <w:rsid w:val="00AB0A99"/>
    <w:rsid w:val="00AB1D7B"/>
    <w:rsid w:val="00AB1EA3"/>
    <w:rsid w:val="00AB2679"/>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55C7"/>
    <w:rsid w:val="00B2566A"/>
    <w:rsid w:val="00B26E87"/>
    <w:rsid w:val="00B3055E"/>
    <w:rsid w:val="00B30EB8"/>
    <w:rsid w:val="00B3226F"/>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7CA1"/>
    <w:rsid w:val="00B50CF0"/>
    <w:rsid w:val="00B512D6"/>
    <w:rsid w:val="00B519A5"/>
    <w:rsid w:val="00B52464"/>
    <w:rsid w:val="00B55453"/>
    <w:rsid w:val="00B55CF3"/>
    <w:rsid w:val="00B5787E"/>
    <w:rsid w:val="00B57CCE"/>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14E"/>
    <w:rsid w:val="00BC264A"/>
    <w:rsid w:val="00BC2701"/>
    <w:rsid w:val="00BC2983"/>
    <w:rsid w:val="00BC3757"/>
    <w:rsid w:val="00BC4593"/>
    <w:rsid w:val="00BC54BA"/>
    <w:rsid w:val="00BD05BF"/>
    <w:rsid w:val="00BD07D0"/>
    <w:rsid w:val="00BD1404"/>
    <w:rsid w:val="00BD2534"/>
    <w:rsid w:val="00BD464A"/>
    <w:rsid w:val="00BD630D"/>
    <w:rsid w:val="00BD639A"/>
    <w:rsid w:val="00BD6401"/>
    <w:rsid w:val="00BD64BD"/>
    <w:rsid w:val="00BD6CFB"/>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69D"/>
    <w:rsid w:val="00C12CB5"/>
    <w:rsid w:val="00C12ECF"/>
    <w:rsid w:val="00C1675F"/>
    <w:rsid w:val="00C16C29"/>
    <w:rsid w:val="00C2051C"/>
    <w:rsid w:val="00C21F2D"/>
    <w:rsid w:val="00C22DD1"/>
    <w:rsid w:val="00C23438"/>
    <w:rsid w:val="00C23439"/>
    <w:rsid w:val="00C2349B"/>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77F3C"/>
    <w:rsid w:val="00C8086B"/>
    <w:rsid w:val="00C80E7F"/>
    <w:rsid w:val="00C82D97"/>
    <w:rsid w:val="00C84D14"/>
    <w:rsid w:val="00C8566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931"/>
    <w:rsid w:val="00CB3A9F"/>
    <w:rsid w:val="00CB4851"/>
    <w:rsid w:val="00CB5048"/>
    <w:rsid w:val="00CB5AC7"/>
    <w:rsid w:val="00CC10DA"/>
    <w:rsid w:val="00CC45C8"/>
    <w:rsid w:val="00CC4F0B"/>
    <w:rsid w:val="00CC5B38"/>
    <w:rsid w:val="00CD1094"/>
    <w:rsid w:val="00CD1B67"/>
    <w:rsid w:val="00CD229F"/>
    <w:rsid w:val="00CD359B"/>
    <w:rsid w:val="00CD44D6"/>
    <w:rsid w:val="00CD5629"/>
    <w:rsid w:val="00CD6030"/>
    <w:rsid w:val="00CE15ED"/>
    <w:rsid w:val="00CE2D1F"/>
    <w:rsid w:val="00CE31CB"/>
    <w:rsid w:val="00CE31E0"/>
    <w:rsid w:val="00CE444E"/>
    <w:rsid w:val="00CE52F0"/>
    <w:rsid w:val="00CE6F1A"/>
    <w:rsid w:val="00CE70AE"/>
    <w:rsid w:val="00CE79A2"/>
    <w:rsid w:val="00CF0403"/>
    <w:rsid w:val="00CF18A3"/>
    <w:rsid w:val="00CF356A"/>
    <w:rsid w:val="00CF3DA6"/>
    <w:rsid w:val="00CF4A61"/>
    <w:rsid w:val="00CF558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40E89"/>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57917"/>
    <w:rsid w:val="00D601F1"/>
    <w:rsid w:val="00D617E0"/>
    <w:rsid w:val="00D61F13"/>
    <w:rsid w:val="00D63C8D"/>
    <w:rsid w:val="00D64001"/>
    <w:rsid w:val="00D650A7"/>
    <w:rsid w:val="00D65513"/>
    <w:rsid w:val="00D65F08"/>
    <w:rsid w:val="00D672D6"/>
    <w:rsid w:val="00D67D4A"/>
    <w:rsid w:val="00D7096D"/>
    <w:rsid w:val="00D70B9D"/>
    <w:rsid w:val="00D718AB"/>
    <w:rsid w:val="00D72595"/>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6E0F"/>
    <w:rsid w:val="00DB1DFA"/>
    <w:rsid w:val="00DB3689"/>
    <w:rsid w:val="00DB3767"/>
    <w:rsid w:val="00DB39E0"/>
    <w:rsid w:val="00DB442C"/>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205D"/>
    <w:rsid w:val="00E02BE9"/>
    <w:rsid w:val="00E03C46"/>
    <w:rsid w:val="00E051A0"/>
    <w:rsid w:val="00E06DE8"/>
    <w:rsid w:val="00E075C4"/>
    <w:rsid w:val="00E07A5E"/>
    <w:rsid w:val="00E1018A"/>
    <w:rsid w:val="00E10707"/>
    <w:rsid w:val="00E11639"/>
    <w:rsid w:val="00E11EC3"/>
    <w:rsid w:val="00E120F4"/>
    <w:rsid w:val="00E12C56"/>
    <w:rsid w:val="00E14000"/>
    <w:rsid w:val="00E14F52"/>
    <w:rsid w:val="00E153F6"/>
    <w:rsid w:val="00E15F7E"/>
    <w:rsid w:val="00E173DF"/>
    <w:rsid w:val="00E203C4"/>
    <w:rsid w:val="00E21D0C"/>
    <w:rsid w:val="00E22546"/>
    <w:rsid w:val="00E22B2E"/>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E2E"/>
    <w:rsid w:val="00E56026"/>
    <w:rsid w:val="00E60D7E"/>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BBB"/>
    <w:rsid w:val="00E87E27"/>
    <w:rsid w:val="00E91D75"/>
    <w:rsid w:val="00E92541"/>
    <w:rsid w:val="00E943EE"/>
    <w:rsid w:val="00E94699"/>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6F5C"/>
    <w:rsid w:val="00EC7D8F"/>
    <w:rsid w:val="00EC7E1A"/>
    <w:rsid w:val="00ED09F7"/>
    <w:rsid w:val="00ED0A4D"/>
    <w:rsid w:val="00ED0F55"/>
    <w:rsid w:val="00ED2207"/>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285"/>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E45"/>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019"/>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4019"/>
    <w:pPr>
      <w:widowControl w:val="0"/>
      <w:spacing w:after="120" w:line="240" w:lineRule="auto"/>
      <w:jc w:val="both"/>
    </w:pPr>
    <w:rPr>
      <w:rFonts w:ascii="Arial" w:eastAsia="Times New Roman" w:hAnsi="Arial"/>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uiPriority w:val="99"/>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812D46-0A80-4E5C-B183-6410AB3F2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3</Pages>
  <Words>987</Words>
  <Characters>5629</Characters>
  <Application>Microsoft Office Word</Application>
  <DocSecurity>0</DocSecurity>
  <Lines>46</Lines>
  <Paragraphs>13</Paragraphs>
  <ScaleCrop>false</ScaleCrop>
  <Company>ZTE</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88</cp:revision>
  <cp:lastPrinted>2113-01-01T00:00:00Z</cp:lastPrinted>
  <dcterms:created xsi:type="dcterms:W3CDTF">2023-03-22T02:16:00Z</dcterms:created>
  <dcterms:modified xsi:type="dcterms:W3CDTF">2023-05-11T16:58:00Z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